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90" w:rsidRPr="004E3C13" w:rsidRDefault="00FB3890" w:rsidP="00505D59">
      <w:pPr>
        <w:spacing w:before="120" w:after="12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538135" w:themeFill="accent6" w:themeFillShade="BF"/>
          </w:tcPr>
          <w:p w:rsidR="00197C1E" w:rsidRDefault="00FB3890" w:rsidP="00505D59">
            <w:pPr>
              <w:tabs>
                <w:tab w:val="center" w:pos="4446"/>
                <w:tab w:val="left" w:pos="7785"/>
              </w:tabs>
              <w:spacing w:before="120" w:after="120"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Standard </w:t>
            </w:r>
            <w:r w:rsidR="00197C1E">
              <w:rPr>
                <w:b/>
                <w:sz w:val="32"/>
              </w:rPr>
              <w:t xml:space="preserve">8. </w:t>
            </w:r>
            <w:r w:rsidR="00197C1E" w:rsidRPr="00197C1E">
              <w:rPr>
                <w:b/>
                <w:sz w:val="32"/>
              </w:rPr>
              <w:t xml:space="preserve">Přijetí oznámení, posouzení naléhavosti </w:t>
            </w:r>
          </w:p>
          <w:p w:rsidR="00FB3890" w:rsidRPr="00831F71" w:rsidRDefault="00197C1E" w:rsidP="00505D59">
            <w:pPr>
              <w:tabs>
                <w:tab w:val="center" w:pos="4446"/>
                <w:tab w:val="left" w:pos="7785"/>
              </w:tabs>
              <w:spacing w:before="120" w:after="120" w:line="276" w:lineRule="auto"/>
              <w:jc w:val="center"/>
              <w:rPr>
                <w:b/>
                <w:sz w:val="32"/>
              </w:rPr>
            </w:pPr>
            <w:r w:rsidRPr="00197C1E">
              <w:rPr>
                <w:b/>
                <w:sz w:val="32"/>
              </w:rPr>
              <w:t>a přidělení případu</w:t>
            </w:r>
          </w:p>
        </w:tc>
      </w:tr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A8D08D" w:themeFill="accent6" w:themeFillTint="99"/>
          </w:tcPr>
          <w:p w:rsidR="00FB3890" w:rsidRPr="00CD7805" w:rsidRDefault="00FB3890" w:rsidP="00505D59">
            <w:pPr>
              <w:tabs>
                <w:tab w:val="left" w:pos="178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Kritérium standardu</w:t>
            </w:r>
          </w:p>
        </w:tc>
      </w:tr>
      <w:tr w:rsidR="00FB3890" w:rsidRPr="004E3C13" w:rsidTr="0007039B">
        <w:trPr>
          <w:trHeight w:val="302"/>
        </w:trPr>
        <w:tc>
          <w:tcPr>
            <w:tcW w:w="9108" w:type="dxa"/>
            <w:shd w:val="clear" w:color="auto" w:fill="FFFFFF"/>
          </w:tcPr>
          <w:p w:rsidR="000C7388" w:rsidRPr="003436E6" w:rsidRDefault="003436E6" w:rsidP="003436E6">
            <w:pPr>
              <w:autoSpaceDE w:val="0"/>
              <w:autoSpaceDN w:val="0"/>
              <w:adjustRightInd w:val="0"/>
              <w:spacing w:before="120" w:after="120" w:line="276" w:lineRule="auto"/>
              <w:ind w:right="280"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8b: </w:t>
            </w:r>
            <w:r w:rsidRPr="003436E6">
              <w:rPr>
                <w:rFonts w:eastAsiaTheme="minorHAnsi"/>
                <w:bCs/>
                <w:color w:val="000000"/>
                <w:szCs w:val="22"/>
                <w:lang w:eastAsia="en-US"/>
              </w:rPr>
              <w:t>Každý případ orgánu sociálně-právní ochrany je posouzen s ohledem na jeho naléhavost.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505D59">
            <w:pPr>
              <w:tabs>
                <w:tab w:val="left" w:pos="210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Závazné pro: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831F71" w:rsidRDefault="00FB3890" w:rsidP="00505D59">
            <w:pPr>
              <w:spacing w:before="120" w:after="120" w:line="276" w:lineRule="auto"/>
            </w:pPr>
            <w:r>
              <w:t>p</w:t>
            </w:r>
            <w:r w:rsidRPr="00831F71">
              <w:t>racovníky Městského úřadu Příbor, kteří poskytují sociálně-právní ochranu dětí</w:t>
            </w:r>
            <w:r>
              <w:t>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505D59">
            <w:pPr>
              <w:tabs>
                <w:tab w:val="left" w:pos="25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Vypracoval: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FB3890" w:rsidP="00505D59">
            <w:pPr>
              <w:spacing w:before="120" w:after="120" w:line="276" w:lineRule="auto"/>
            </w:pPr>
            <w:r w:rsidRPr="00715E73">
              <w:t>Bc. Lenka Filipcová, Bc. Karolína Najzarová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505D59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Schválil:</w:t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Datum a podpis: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FB3890" w:rsidP="00CA15F6">
            <w:pPr>
              <w:spacing w:before="360" w:after="360" w:line="276" w:lineRule="auto"/>
              <w:jc w:val="both"/>
            </w:pPr>
            <w:r w:rsidRPr="00715E73">
              <w:t>Ing. Arnošt Vaněk, tajemník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505D59">
            <w:pPr>
              <w:tabs>
                <w:tab w:val="left" w:pos="46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Platnost kritéria od: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FFFFFF"/>
          </w:tcPr>
          <w:p w:rsidR="00FB3890" w:rsidRPr="00715E73" w:rsidRDefault="000E2481" w:rsidP="000E2481">
            <w:pPr>
              <w:spacing w:before="120" w:after="120" w:line="276" w:lineRule="auto"/>
            </w:pPr>
            <w:r>
              <w:t xml:space="preserve">1. </w:t>
            </w:r>
            <w:r w:rsidR="00FB3890">
              <w:t>1</w:t>
            </w:r>
            <w:r w:rsidR="00FB3890" w:rsidRPr="00715E73">
              <w:t>. 2015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A31D75" w:rsidRDefault="00FB3890" w:rsidP="00505D59">
            <w:pPr>
              <w:tabs>
                <w:tab w:val="left" w:pos="300"/>
                <w:tab w:val="center" w:pos="4446"/>
              </w:tabs>
              <w:spacing w:before="120" w:after="120" w:line="276" w:lineRule="auto"/>
              <w:rPr>
                <w:b/>
              </w:rPr>
            </w:pPr>
            <w:r w:rsidRPr="00A31D75">
              <w:tab/>
            </w:r>
            <w:r w:rsidRPr="00A31D75">
              <w:tab/>
            </w:r>
            <w:r w:rsidRPr="00A31D75">
              <w:rPr>
                <w:b/>
              </w:rPr>
              <w:t>Cíle kritéria: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uto"/>
          </w:tcPr>
          <w:p w:rsidR="003436E6" w:rsidRPr="003436E6" w:rsidRDefault="000E2481" w:rsidP="003436E6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B</w:t>
            </w:r>
            <w:r w:rsidR="003436E6" w:rsidRPr="003436E6">
              <w:rPr>
                <w:rFonts w:eastAsiaTheme="minorHAnsi"/>
                <w:color w:val="000000"/>
                <w:szCs w:val="22"/>
                <w:lang w:eastAsia="en-US"/>
              </w:rPr>
              <w:t>ezpečí a jistota klientů, že u naléhavých pří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padů nebude docházet k prodlení.</w:t>
            </w:r>
          </w:p>
          <w:p w:rsidR="003436E6" w:rsidRPr="003436E6" w:rsidRDefault="000E2481" w:rsidP="003436E6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S</w:t>
            </w:r>
            <w:r w:rsidR="003436E6" w:rsidRPr="003436E6">
              <w:rPr>
                <w:rFonts w:eastAsiaTheme="minorHAnsi"/>
                <w:color w:val="000000"/>
                <w:szCs w:val="22"/>
                <w:lang w:eastAsia="en-US"/>
              </w:rPr>
              <w:t xml:space="preserve">tanovená kritéria naléhavosti případů a na 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ně navazující konkrétní postupy.</w:t>
            </w:r>
          </w:p>
          <w:p w:rsidR="000C7388" w:rsidRPr="003436E6" w:rsidRDefault="000E2481" w:rsidP="003436E6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Helvetica" w:eastAsiaTheme="minorHAnsi" w:hAnsi="Helvetica" w:cs="Helvetic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Z</w:t>
            </w:r>
            <w:r w:rsidR="003436E6" w:rsidRPr="003436E6">
              <w:rPr>
                <w:rFonts w:eastAsiaTheme="minorHAnsi"/>
                <w:color w:val="000000"/>
                <w:szCs w:val="22"/>
                <w:lang w:eastAsia="en-US"/>
              </w:rPr>
              <w:t>aměstnanci znají kritéria naléhavosti případů a postupy v situacích, které byly jako naléhavé vyhodnoceny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8D08D" w:themeFill="accent6" w:themeFillTint="99"/>
          </w:tcPr>
          <w:p w:rsidR="00FB3890" w:rsidRPr="00BA0AC4" w:rsidRDefault="00FB3890" w:rsidP="000E2481">
            <w:pPr>
              <w:spacing w:before="120" w:after="120" w:line="276" w:lineRule="auto"/>
              <w:jc w:val="center"/>
              <w:rPr>
                <w:b/>
              </w:rPr>
            </w:pPr>
            <w:r w:rsidRPr="00BA0AC4">
              <w:rPr>
                <w:b/>
              </w:rPr>
              <w:t>Obsah kritéria standardu:</w:t>
            </w:r>
          </w:p>
        </w:tc>
      </w:tr>
      <w:tr w:rsidR="00FB3890" w:rsidRPr="004E3C13" w:rsidTr="0007039B">
        <w:tc>
          <w:tcPr>
            <w:tcW w:w="9108" w:type="dxa"/>
            <w:shd w:val="clear" w:color="auto" w:fill="auto"/>
          </w:tcPr>
          <w:p w:rsidR="00C858EE" w:rsidRDefault="009D3898" w:rsidP="00505D59">
            <w:p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 xml:space="preserve">Posouzení naléhavosti oznámení je povinen provést každý </w:t>
            </w:r>
            <w:r w:rsidR="00C858EE">
              <w:t>pracovník</w:t>
            </w:r>
            <w:r>
              <w:t xml:space="preserve"> sociálně-právn</w:t>
            </w:r>
            <w:r w:rsidR="00EB6126">
              <w:t>í ochrany, který jej přijme jako první. Naléhavou situaci je třeba řešit neodkladně v daný okamžik. Nejdůležitějším kritériem pro posouzení naléhavosti je míra ohrožení života dítěte, jeho bezpečí a zdravého vývoje.</w:t>
            </w:r>
          </w:p>
          <w:p w:rsidR="00C858EE" w:rsidRDefault="00C858EE" w:rsidP="00505D59">
            <w:p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Konkrétními kritérii pro posouzení naléhavosti případu jsou: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aktuální schopnost rodičů postarat se o dítě,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zajištění adekvátního dozoru a péče o dítě,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zanedbanost péče o dítě,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lastRenderedPageBreak/>
              <w:t>podezření na fyzické či psychické týrání dítěte,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známky zneužívání nebo sebepoškozování dítěte,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riziko sebevražedného chování,</w:t>
            </w:r>
          </w:p>
          <w:p w:rsidR="00C858EE" w:rsidRDefault="00C858EE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akutní ohrožení zdraví či života dítěte,</w:t>
            </w:r>
          </w:p>
          <w:p w:rsidR="00C858EE" w:rsidRDefault="00455571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intoxikace dítěte alkoholem/návykovými látkami</w:t>
            </w:r>
            <w:r w:rsidR="0034723A">
              <w:t>,</w:t>
            </w:r>
          </w:p>
          <w:p w:rsidR="00455571" w:rsidRDefault="00455571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dítě na útěku z</w:t>
            </w:r>
            <w:r w:rsidR="0034723A">
              <w:t> </w:t>
            </w:r>
            <w:r>
              <w:t>domova</w:t>
            </w:r>
            <w:r w:rsidR="0034723A">
              <w:t>,</w:t>
            </w:r>
          </w:p>
          <w:p w:rsidR="00455571" w:rsidRDefault="00455571" w:rsidP="00C858EE">
            <w:pPr>
              <w:pStyle w:val="Odstavecseseznamem"/>
              <w:numPr>
                <w:ilvl w:val="0"/>
                <w:numId w:val="15"/>
              </w:num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opakované podání podnětu</w:t>
            </w:r>
            <w:r w:rsidR="0034723A">
              <w:t>.</w:t>
            </w:r>
          </w:p>
          <w:p w:rsidR="00455571" w:rsidRDefault="00455571" w:rsidP="00C858EE">
            <w:p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 xml:space="preserve">Pokud pracovník při vyhodnocování situace </w:t>
            </w:r>
            <w:r w:rsidR="00EA7D60">
              <w:t>dojde k závěru, že minimálně jedno kritérium se týká případu, je situace naléhavá a vyžaduje bezodkladné řešení.</w:t>
            </w:r>
          </w:p>
          <w:p w:rsidR="00C858EE" w:rsidRDefault="00455571" w:rsidP="00C858EE">
            <w:pPr>
              <w:tabs>
                <w:tab w:val="left" w:pos="6225"/>
              </w:tabs>
              <w:spacing w:before="120" w:after="120" w:line="276" w:lineRule="auto"/>
              <w:jc w:val="both"/>
            </w:pPr>
            <w:r>
              <w:t>Pracovníci mají možnost konzultace posouzení naléhavosti oznámení s kolegy odboru sociálních věcí i dalšími odborníky z různých oblastí.</w:t>
            </w:r>
          </w:p>
          <w:p w:rsidR="00197C1E" w:rsidRPr="003F4E80" w:rsidRDefault="00197C1E" w:rsidP="00505D59">
            <w:pPr>
              <w:tabs>
                <w:tab w:val="left" w:pos="6225"/>
              </w:tabs>
              <w:spacing w:before="120" w:after="120" w:line="276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BB48D3" w:rsidRDefault="00BB48D3" w:rsidP="00505D59">
      <w:pPr>
        <w:spacing w:before="120" w:after="120" w:line="276" w:lineRule="auto"/>
      </w:pPr>
    </w:p>
    <w:sectPr w:rsidR="00BB48D3" w:rsidSect="0007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BB" w:rsidRDefault="009A4FBB" w:rsidP="00EB6126">
      <w:r>
        <w:separator/>
      </w:r>
    </w:p>
  </w:endnote>
  <w:endnote w:type="continuationSeparator" w:id="0">
    <w:p w:rsidR="009A4FBB" w:rsidRDefault="009A4FBB" w:rsidP="00E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BB" w:rsidRDefault="009A4FBB" w:rsidP="00EB6126">
      <w:r>
        <w:separator/>
      </w:r>
    </w:p>
  </w:footnote>
  <w:footnote w:type="continuationSeparator" w:id="0">
    <w:p w:rsidR="009A4FBB" w:rsidRDefault="009A4FBB" w:rsidP="00E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45F1"/>
    <w:multiLevelType w:val="hybridMultilevel"/>
    <w:tmpl w:val="063ED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25B3"/>
    <w:multiLevelType w:val="hybridMultilevel"/>
    <w:tmpl w:val="1EFE6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A2F75"/>
    <w:multiLevelType w:val="hybridMultilevel"/>
    <w:tmpl w:val="C52C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6CDE"/>
    <w:multiLevelType w:val="hybridMultilevel"/>
    <w:tmpl w:val="87428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105FF"/>
    <w:multiLevelType w:val="hybridMultilevel"/>
    <w:tmpl w:val="83CCC278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7022A36"/>
    <w:multiLevelType w:val="hybridMultilevel"/>
    <w:tmpl w:val="0BCE54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43CD3"/>
    <w:multiLevelType w:val="hybridMultilevel"/>
    <w:tmpl w:val="7B502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56144"/>
    <w:multiLevelType w:val="hybridMultilevel"/>
    <w:tmpl w:val="4C20E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219A5"/>
    <w:multiLevelType w:val="hybridMultilevel"/>
    <w:tmpl w:val="FE70B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205CC"/>
    <w:multiLevelType w:val="hybridMultilevel"/>
    <w:tmpl w:val="063ED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E3045"/>
    <w:multiLevelType w:val="hybridMultilevel"/>
    <w:tmpl w:val="E770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14CEC"/>
    <w:multiLevelType w:val="hybridMultilevel"/>
    <w:tmpl w:val="9FB8E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51283"/>
    <w:multiLevelType w:val="hybridMultilevel"/>
    <w:tmpl w:val="B5EE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F7D62"/>
    <w:multiLevelType w:val="hybridMultilevel"/>
    <w:tmpl w:val="6058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4"/>
  </w:num>
  <w:num w:numId="8">
    <w:abstractNumId w:val="11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90"/>
    <w:rsid w:val="00033BD0"/>
    <w:rsid w:val="0007039B"/>
    <w:rsid w:val="000B6E08"/>
    <w:rsid w:val="000C7388"/>
    <w:rsid w:val="000E193A"/>
    <w:rsid w:val="000E2481"/>
    <w:rsid w:val="00146339"/>
    <w:rsid w:val="00196A57"/>
    <w:rsid w:val="00197C1E"/>
    <w:rsid w:val="001A714E"/>
    <w:rsid w:val="00242C34"/>
    <w:rsid w:val="00263B5B"/>
    <w:rsid w:val="00264BFF"/>
    <w:rsid w:val="00296C01"/>
    <w:rsid w:val="002A6D15"/>
    <w:rsid w:val="002B53BD"/>
    <w:rsid w:val="002D38CC"/>
    <w:rsid w:val="002E4DC2"/>
    <w:rsid w:val="003436E6"/>
    <w:rsid w:val="0034723A"/>
    <w:rsid w:val="003A470D"/>
    <w:rsid w:val="003F4E80"/>
    <w:rsid w:val="004214B3"/>
    <w:rsid w:val="00455571"/>
    <w:rsid w:val="0049141B"/>
    <w:rsid w:val="004B3B1E"/>
    <w:rsid w:val="004C74AA"/>
    <w:rsid w:val="004E157C"/>
    <w:rsid w:val="004F4B87"/>
    <w:rsid w:val="00505D59"/>
    <w:rsid w:val="00580762"/>
    <w:rsid w:val="005C649C"/>
    <w:rsid w:val="00603CB9"/>
    <w:rsid w:val="00616222"/>
    <w:rsid w:val="00647CEA"/>
    <w:rsid w:val="00715F6A"/>
    <w:rsid w:val="007356C7"/>
    <w:rsid w:val="007D46F5"/>
    <w:rsid w:val="00882A23"/>
    <w:rsid w:val="009928CF"/>
    <w:rsid w:val="009A4FBB"/>
    <w:rsid w:val="009B3F27"/>
    <w:rsid w:val="009C4143"/>
    <w:rsid w:val="009D3898"/>
    <w:rsid w:val="00A40790"/>
    <w:rsid w:val="00A5417D"/>
    <w:rsid w:val="00BB48D3"/>
    <w:rsid w:val="00BF20F4"/>
    <w:rsid w:val="00C858EE"/>
    <w:rsid w:val="00CA15F6"/>
    <w:rsid w:val="00CA3452"/>
    <w:rsid w:val="00CE4BC4"/>
    <w:rsid w:val="00DA5565"/>
    <w:rsid w:val="00DA6EF1"/>
    <w:rsid w:val="00DA7A56"/>
    <w:rsid w:val="00DC037B"/>
    <w:rsid w:val="00E53687"/>
    <w:rsid w:val="00E61F05"/>
    <w:rsid w:val="00EA7D60"/>
    <w:rsid w:val="00EB6126"/>
    <w:rsid w:val="00F12E3A"/>
    <w:rsid w:val="00F50B2B"/>
    <w:rsid w:val="00F60500"/>
    <w:rsid w:val="00FA6E15"/>
    <w:rsid w:val="00FB3890"/>
    <w:rsid w:val="00FC0DF2"/>
    <w:rsid w:val="00FC4BC7"/>
    <w:rsid w:val="00FC51B5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A415-1740-4135-9BD7-43FFA1D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4">
    <w:name w:val="A4"/>
    <w:uiPriority w:val="99"/>
    <w:rsid w:val="00CE4BC4"/>
    <w:rPr>
      <w:b/>
      <w:bCs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4079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C4B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C4BC7"/>
  </w:style>
  <w:style w:type="character" w:styleId="Hypertextovodkaz">
    <w:name w:val="Hyperlink"/>
    <w:basedOn w:val="Standardnpsmoodstavce"/>
    <w:uiPriority w:val="99"/>
    <w:unhideWhenUsed/>
    <w:rsid w:val="003F4E80"/>
    <w:rPr>
      <w:color w:val="0563C1" w:themeColor="hyperlink"/>
      <w:u w:val="single"/>
    </w:rPr>
  </w:style>
  <w:style w:type="paragraph" w:customStyle="1" w:styleId="Pa6">
    <w:name w:val="Pa6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5">
    <w:name w:val="A5"/>
    <w:uiPriority w:val="99"/>
    <w:rsid w:val="00033BD0"/>
    <w:rPr>
      <w:rFonts w:cs="Futura"/>
      <w:color w:val="000000"/>
      <w:sz w:val="34"/>
      <w:szCs w:val="34"/>
    </w:rPr>
  </w:style>
  <w:style w:type="paragraph" w:customStyle="1" w:styleId="Pa0">
    <w:name w:val="Pa0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Helvetica" w:eastAsiaTheme="minorHAnsi" w:hAnsi="Helvetica" w:cstheme="minorBidi"/>
      <w:lang w:eastAsia="en-US"/>
    </w:rPr>
  </w:style>
  <w:style w:type="paragraph" w:customStyle="1" w:styleId="Pa3">
    <w:name w:val="Pa3"/>
    <w:basedOn w:val="Normln"/>
    <w:next w:val="Normln"/>
    <w:uiPriority w:val="99"/>
    <w:rsid w:val="007356C7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421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B6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8">
    <w:name w:val="Pa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6">
    <w:name w:val="A6"/>
    <w:uiPriority w:val="99"/>
    <w:rsid w:val="00C858EE"/>
    <w:rPr>
      <w:rFonts w:cs="Futura"/>
      <w:color w:val="000000"/>
      <w:sz w:val="20"/>
      <w:szCs w:val="20"/>
    </w:rPr>
  </w:style>
  <w:style w:type="paragraph" w:customStyle="1" w:styleId="Pa18">
    <w:name w:val="Pa1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8202-65B1-4FFB-B017-B1F20F0A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Najzarová</dc:creator>
  <cp:lastModifiedBy>Karolína Najzarová</cp:lastModifiedBy>
  <cp:revision>7</cp:revision>
  <dcterms:created xsi:type="dcterms:W3CDTF">2015-02-16T09:22:00Z</dcterms:created>
  <dcterms:modified xsi:type="dcterms:W3CDTF">2015-03-03T05:31:00Z</dcterms:modified>
</cp:coreProperties>
</file>