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FB3890" w:rsidRPr="004E3C13" w:rsidTr="00A20760">
        <w:trPr>
          <w:trHeight w:val="302"/>
        </w:trPr>
        <w:tc>
          <w:tcPr>
            <w:tcW w:w="9108" w:type="dxa"/>
            <w:shd w:val="clear" w:color="auto" w:fill="538135" w:themeFill="accent6" w:themeFillShade="BF"/>
          </w:tcPr>
          <w:p w:rsidR="00FB3890" w:rsidRPr="00831F71" w:rsidRDefault="00FB3890" w:rsidP="00E2519A">
            <w:pPr>
              <w:tabs>
                <w:tab w:val="center" w:pos="4446"/>
                <w:tab w:val="left" w:pos="7785"/>
              </w:tabs>
              <w:spacing w:before="120" w:after="120"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Standard </w:t>
            </w:r>
            <w:r w:rsidR="00D95016">
              <w:rPr>
                <w:b/>
                <w:sz w:val="32"/>
              </w:rPr>
              <w:t>13</w:t>
            </w:r>
            <w:r w:rsidR="005A5485">
              <w:rPr>
                <w:b/>
                <w:sz w:val="32"/>
              </w:rPr>
              <w:t xml:space="preserve">. </w:t>
            </w:r>
            <w:r w:rsidR="00E2519A">
              <w:rPr>
                <w:b/>
                <w:sz w:val="32"/>
              </w:rPr>
              <w:t>Vyřizování a podávání stížností</w:t>
            </w:r>
          </w:p>
        </w:tc>
      </w:tr>
      <w:tr w:rsidR="00FB3890" w:rsidRPr="004E3C13" w:rsidTr="00A20760">
        <w:trPr>
          <w:trHeight w:val="302"/>
        </w:trPr>
        <w:tc>
          <w:tcPr>
            <w:tcW w:w="9108" w:type="dxa"/>
            <w:shd w:val="clear" w:color="auto" w:fill="A8D08D" w:themeFill="accent6" w:themeFillTint="99"/>
          </w:tcPr>
          <w:p w:rsidR="00FB3890" w:rsidRPr="00CD7805" w:rsidRDefault="00FB3890" w:rsidP="00505D59">
            <w:pPr>
              <w:tabs>
                <w:tab w:val="left" w:pos="1785"/>
                <w:tab w:val="center" w:pos="4446"/>
              </w:tabs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Kritérium standardu</w:t>
            </w:r>
          </w:p>
        </w:tc>
      </w:tr>
      <w:tr w:rsidR="00415886" w:rsidRPr="004E3C13" w:rsidTr="00A20760">
        <w:trPr>
          <w:trHeight w:val="302"/>
        </w:trPr>
        <w:tc>
          <w:tcPr>
            <w:tcW w:w="9108" w:type="dxa"/>
            <w:shd w:val="clear" w:color="auto" w:fill="auto"/>
          </w:tcPr>
          <w:p w:rsidR="00415886" w:rsidRPr="00E2519A" w:rsidRDefault="00E2519A" w:rsidP="003A6667">
            <w:pPr>
              <w:autoSpaceDE w:val="0"/>
              <w:autoSpaceDN w:val="0"/>
              <w:adjustRightInd w:val="0"/>
              <w:spacing w:before="120" w:after="120" w:line="276" w:lineRule="auto"/>
              <w:ind w:right="103"/>
              <w:jc w:val="both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13a: </w:t>
            </w:r>
            <w:r w:rsidRPr="00E2519A">
              <w:rPr>
                <w:rFonts w:eastAsiaTheme="minorHAnsi"/>
                <w:bCs/>
                <w:color w:val="000000"/>
                <w:szCs w:val="22"/>
                <w:lang w:eastAsia="en-US"/>
              </w:rPr>
              <w:t>Orgán sociálně-právní ochrany má zpracována prav</w:t>
            </w:r>
            <w:r w:rsidR="00A20760">
              <w:rPr>
                <w:rFonts w:eastAsiaTheme="minorHAnsi"/>
                <w:bCs/>
                <w:color w:val="000000"/>
                <w:szCs w:val="22"/>
                <w:lang w:eastAsia="en-US"/>
              </w:rPr>
              <w:t>idla pro podávání, vyřizování a </w:t>
            </w:r>
            <w:r w:rsidRPr="00E2519A">
              <w:rPr>
                <w:rFonts w:eastAsiaTheme="minorHAnsi"/>
                <w:bCs/>
                <w:color w:val="000000"/>
                <w:szCs w:val="22"/>
                <w:lang w:eastAsia="en-US"/>
              </w:rPr>
              <w:t>evidenci stížností v podobě sr</w:t>
            </w:r>
            <w:r w:rsidR="009320DB">
              <w:rPr>
                <w:rFonts w:eastAsiaTheme="minorHAnsi"/>
                <w:bCs/>
                <w:color w:val="000000"/>
                <w:szCs w:val="22"/>
                <w:lang w:eastAsia="en-US"/>
              </w:rPr>
              <w:t>ozumitelné pro všechny klienty.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3A6667">
            <w:pPr>
              <w:tabs>
                <w:tab w:val="left" w:pos="210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Závazné pro: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FFFFFF"/>
          </w:tcPr>
          <w:p w:rsidR="00FB3890" w:rsidRPr="00831F71" w:rsidRDefault="00FB3890" w:rsidP="003A6667">
            <w:pPr>
              <w:spacing w:before="120" w:after="120" w:line="276" w:lineRule="auto"/>
              <w:ind w:right="103"/>
            </w:pPr>
            <w:r>
              <w:t>p</w:t>
            </w:r>
            <w:r w:rsidRPr="00831F71">
              <w:t>racovníky Městského úřadu Příbor, kteří poskytují sociálně-právní ochranu dětí</w:t>
            </w:r>
            <w:r>
              <w:t>.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3A6667">
            <w:pPr>
              <w:tabs>
                <w:tab w:val="left" w:pos="25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Vypracoval: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FFFFFF"/>
          </w:tcPr>
          <w:p w:rsidR="00FB3890" w:rsidRPr="00715E73" w:rsidRDefault="00865D33" w:rsidP="003A6667">
            <w:pPr>
              <w:spacing w:before="120" w:after="120" w:line="276" w:lineRule="auto"/>
              <w:ind w:right="103"/>
            </w:pPr>
            <w:r>
              <w:t>Bc. Lenka Filipcová, Mgr</w:t>
            </w:r>
            <w:r w:rsidR="00FB3890" w:rsidRPr="00715E73">
              <w:t>. Karolína Najzarová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3A6667">
            <w:pPr>
              <w:spacing w:before="120" w:after="120" w:line="276" w:lineRule="auto"/>
              <w:ind w:right="103"/>
              <w:jc w:val="both"/>
              <w:rPr>
                <w:b/>
              </w:rPr>
            </w:pPr>
            <w:r>
              <w:rPr>
                <w:b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Schválil:</w:t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</w:r>
            <w:r w:rsidRPr="00A70FB9">
              <w:rPr>
                <w:b/>
                <w:shd w:val="clear" w:color="auto" w:fill="A8D08D" w:themeFill="accent6" w:themeFillTint="99"/>
              </w:rPr>
              <w:tab/>
              <w:t>Datum a podpis: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FFFFFF"/>
          </w:tcPr>
          <w:p w:rsidR="00FB3890" w:rsidRPr="00715E73" w:rsidRDefault="00FB3890" w:rsidP="00E045C9">
            <w:pPr>
              <w:spacing w:before="360" w:after="360" w:line="276" w:lineRule="auto"/>
              <w:ind w:right="103"/>
              <w:jc w:val="both"/>
            </w:pPr>
            <w:r w:rsidRPr="00715E73">
              <w:t>Ing. Arnošt Vaněk, tajemník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8D08D" w:themeFill="accent6" w:themeFillTint="99"/>
          </w:tcPr>
          <w:p w:rsidR="00FB3890" w:rsidRPr="00F656D8" w:rsidRDefault="00FB3890" w:rsidP="003A6667">
            <w:pPr>
              <w:tabs>
                <w:tab w:val="left" w:pos="465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F656D8">
              <w:rPr>
                <w:b/>
              </w:rPr>
              <w:t>Platnost kritéria od: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FFFFFF"/>
          </w:tcPr>
          <w:p w:rsidR="00FB3890" w:rsidRPr="00715E73" w:rsidRDefault="00E75794" w:rsidP="003A6667">
            <w:pPr>
              <w:spacing w:before="120" w:after="120" w:line="276" w:lineRule="auto"/>
              <w:ind w:right="103"/>
            </w:pPr>
            <w:r>
              <w:t>22. 11</w:t>
            </w:r>
            <w:r w:rsidR="0006131A">
              <w:t>. 2017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8D08D" w:themeFill="accent6" w:themeFillTint="99"/>
          </w:tcPr>
          <w:p w:rsidR="00FB3890" w:rsidRPr="00A31D75" w:rsidRDefault="00FB3890" w:rsidP="003A6667">
            <w:pPr>
              <w:tabs>
                <w:tab w:val="left" w:pos="300"/>
                <w:tab w:val="center" w:pos="4446"/>
              </w:tabs>
              <w:spacing w:before="120" w:after="120" w:line="276" w:lineRule="auto"/>
              <w:ind w:right="103"/>
              <w:rPr>
                <w:b/>
              </w:rPr>
            </w:pPr>
            <w:r w:rsidRPr="00A31D75">
              <w:tab/>
            </w:r>
            <w:r w:rsidRPr="00A31D75">
              <w:tab/>
            </w:r>
            <w:r w:rsidRPr="00A31D75">
              <w:rPr>
                <w:b/>
              </w:rPr>
              <w:t>Cíle kritéria: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uto"/>
          </w:tcPr>
          <w:p w:rsidR="00E2519A" w:rsidRPr="00E2519A" w:rsidRDefault="00E045C9" w:rsidP="003A6667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103"/>
              <w:rPr>
                <w:rFonts w:eastAsiaTheme="minorHAnsi"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S</w:t>
            </w:r>
            <w:r w:rsidR="00E2519A" w:rsidRPr="00E2519A">
              <w:rPr>
                <w:rFonts w:eastAsiaTheme="minorHAnsi"/>
                <w:color w:val="000000"/>
                <w:szCs w:val="22"/>
                <w:lang w:eastAsia="en-US"/>
              </w:rPr>
              <w:t>tížnost je zaměstnanci a pracovištěm vnímána jako podnět pro zvýšení kvality poskytování sociálně-právní ochrany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  <w:p w:rsidR="000C7388" w:rsidRPr="00E2519A" w:rsidRDefault="00E045C9" w:rsidP="003A6667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right="103"/>
              <w:jc w:val="both"/>
              <w:rPr>
                <w:rFonts w:ascii="Helvetica" w:eastAsiaTheme="minorHAnsi" w:hAnsi="Helvetica" w:cs="Helvetic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Cs w:val="22"/>
                <w:lang w:eastAsia="en-US"/>
              </w:rPr>
              <w:t>P</w:t>
            </w:r>
            <w:r w:rsidR="00E2519A" w:rsidRPr="00E2519A">
              <w:rPr>
                <w:rFonts w:eastAsiaTheme="minorHAnsi"/>
                <w:color w:val="000000"/>
                <w:szCs w:val="22"/>
                <w:lang w:eastAsia="en-US"/>
              </w:rPr>
              <w:t>racoviště má nastavena pravidla a postupy pro podávání, vyřizování a evidenci stížností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>.</w:t>
            </w:r>
          </w:p>
        </w:tc>
      </w:tr>
      <w:tr w:rsidR="00FB3890" w:rsidRPr="004E3C13" w:rsidTr="00A20760">
        <w:tc>
          <w:tcPr>
            <w:tcW w:w="9108" w:type="dxa"/>
            <w:shd w:val="clear" w:color="auto" w:fill="A8D08D" w:themeFill="accent6" w:themeFillTint="99"/>
          </w:tcPr>
          <w:p w:rsidR="00FB3890" w:rsidRPr="00BA0AC4" w:rsidRDefault="00FB3890" w:rsidP="003A6667">
            <w:pPr>
              <w:spacing w:before="120" w:after="120" w:line="276" w:lineRule="auto"/>
              <w:ind w:right="103"/>
              <w:jc w:val="center"/>
              <w:rPr>
                <w:b/>
              </w:rPr>
            </w:pPr>
            <w:r w:rsidRPr="00BA0AC4">
              <w:rPr>
                <w:b/>
              </w:rPr>
              <w:t>Obsah kritéria standardu:</w:t>
            </w:r>
          </w:p>
        </w:tc>
      </w:tr>
      <w:tr w:rsidR="005E3B10" w:rsidRPr="004E3C13" w:rsidTr="00A20760">
        <w:trPr>
          <w:trHeight w:val="567"/>
        </w:trPr>
        <w:tc>
          <w:tcPr>
            <w:tcW w:w="9108" w:type="dxa"/>
            <w:shd w:val="clear" w:color="auto" w:fill="auto"/>
          </w:tcPr>
          <w:p w:rsidR="009320DB" w:rsidRDefault="009320DB" w:rsidP="003A6667">
            <w:pPr>
              <w:spacing w:before="120" w:after="120" w:line="276" w:lineRule="auto"/>
              <w:ind w:right="103"/>
              <w:jc w:val="both"/>
            </w:pPr>
            <w:r w:rsidRPr="005014A1">
              <w:t xml:space="preserve">Rada města Příbora </w:t>
            </w:r>
            <w:r>
              <w:t>přijala Pravidla pro přijímání a v</w:t>
            </w:r>
            <w:r w:rsidR="00CA0F19">
              <w:t>yřizování stížnosti a petic č. 5/2017 s účinnosti od 1. listopadu. 2017</w:t>
            </w:r>
            <w:r>
              <w:t xml:space="preserve">, kterými jsou povinni řídit se všichni zaměstnanci Městského úřadu Příbor. </w:t>
            </w:r>
            <w:r w:rsidR="00AA37F4">
              <w:t>Orgán sociálně-právní ochrany má zpracová</w:t>
            </w:r>
            <w:r w:rsidR="002A0638">
              <w:t>na</w:t>
            </w:r>
            <w:r w:rsidR="00FE28E2">
              <w:t xml:space="preserve"> zjednodušená a</w:t>
            </w:r>
            <w:r w:rsidR="0015074F">
              <w:t> </w:t>
            </w:r>
            <w:r w:rsidR="00FE28E2">
              <w:t>srozumitelná P</w:t>
            </w:r>
            <w:r w:rsidR="00AA37F4">
              <w:t>ravidla orgánu sociálně-právní ochrany dětí Měst</w:t>
            </w:r>
            <w:r w:rsidR="00380717">
              <w:t>s</w:t>
            </w:r>
            <w:r w:rsidR="00AA37F4">
              <w:t>kého úřadu Příbor pro podávání,</w:t>
            </w:r>
            <w:r w:rsidR="002617E7">
              <w:t xml:space="preserve"> vyřizování a evidenci stížností</w:t>
            </w:r>
            <w:r w:rsidR="00AA37F4">
              <w:t>.</w:t>
            </w:r>
          </w:p>
          <w:p w:rsidR="009A4622" w:rsidRDefault="009A4622" w:rsidP="003A6667">
            <w:pPr>
              <w:spacing w:before="120" w:after="120" w:line="276" w:lineRule="auto"/>
              <w:ind w:right="103"/>
              <w:jc w:val="both"/>
            </w:pPr>
          </w:p>
          <w:p w:rsidR="0015074F" w:rsidRDefault="0015074F" w:rsidP="003A6667">
            <w:pPr>
              <w:spacing w:before="120" w:after="120" w:line="276" w:lineRule="auto"/>
              <w:ind w:right="103"/>
              <w:jc w:val="both"/>
            </w:pPr>
          </w:p>
          <w:p w:rsidR="0015074F" w:rsidRDefault="0015074F" w:rsidP="003A6667">
            <w:pPr>
              <w:spacing w:before="120" w:after="120" w:line="276" w:lineRule="auto"/>
              <w:ind w:right="103"/>
              <w:jc w:val="both"/>
            </w:pPr>
          </w:p>
          <w:p w:rsidR="0015074F" w:rsidRDefault="0015074F" w:rsidP="003A6667">
            <w:pPr>
              <w:spacing w:before="120" w:after="120" w:line="276" w:lineRule="auto"/>
              <w:ind w:right="103"/>
              <w:jc w:val="both"/>
            </w:pPr>
          </w:p>
          <w:p w:rsidR="0015074F" w:rsidRDefault="0015074F" w:rsidP="003A6667">
            <w:pPr>
              <w:spacing w:before="120" w:after="120" w:line="276" w:lineRule="auto"/>
              <w:ind w:right="103"/>
              <w:jc w:val="both"/>
            </w:pPr>
          </w:p>
          <w:p w:rsidR="009A4622" w:rsidRPr="009A4622" w:rsidRDefault="00C935A9" w:rsidP="00065A88">
            <w:pPr>
              <w:spacing w:before="360" w:after="120" w:line="276" w:lineRule="auto"/>
              <w:ind w:right="103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 xml:space="preserve">Pravidla </w:t>
            </w:r>
            <w:r w:rsidR="00FE28E2">
              <w:rPr>
                <w:b/>
                <w:sz w:val="30"/>
                <w:szCs w:val="30"/>
              </w:rPr>
              <w:t>orgánu sociálně-právní ochrany dětí</w:t>
            </w:r>
            <w:r w:rsidR="009A4622" w:rsidRPr="009A4622">
              <w:rPr>
                <w:b/>
                <w:sz w:val="30"/>
                <w:szCs w:val="30"/>
              </w:rPr>
              <w:t xml:space="preserve"> Městského úřadu Příbor</w:t>
            </w:r>
            <w:r w:rsidR="002617E7">
              <w:rPr>
                <w:b/>
                <w:sz w:val="30"/>
                <w:szCs w:val="30"/>
              </w:rPr>
              <w:t xml:space="preserve"> pro podávání, vyřizování a evidenci stížností</w:t>
            </w:r>
          </w:p>
          <w:p w:rsidR="00106213" w:rsidRPr="00F91584" w:rsidRDefault="00261CBD" w:rsidP="0015074F">
            <w:pPr>
              <w:keepNext/>
              <w:keepLines/>
              <w:widowControl w:val="0"/>
              <w:shd w:val="clear" w:color="auto" w:fill="FFFFFF" w:themeFill="background1"/>
              <w:spacing w:after="60" w:line="259" w:lineRule="auto"/>
              <w:jc w:val="both"/>
              <w:rPr>
                <w:szCs w:val="20"/>
              </w:rPr>
            </w:pPr>
            <w:r>
              <w:t>Není-li kterýkoliv občan, spokojen s úředním postupem pracovníka orgán</w:t>
            </w:r>
            <w:r w:rsidR="00A965E2">
              <w:t>u sociálně-právní ochrany</w:t>
            </w:r>
            <w:r w:rsidR="00F441A0">
              <w:t xml:space="preserve">, </w:t>
            </w:r>
            <w:r w:rsidR="00F441A0" w:rsidRPr="00A965E2">
              <w:t xml:space="preserve">může podat </w:t>
            </w:r>
            <w:r w:rsidR="00106213" w:rsidRPr="00A965E2">
              <w:t xml:space="preserve">stížnost </w:t>
            </w:r>
            <w:r w:rsidR="00F441A0" w:rsidRPr="00A965E2">
              <w:t xml:space="preserve">na jeho </w:t>
            </w:r>
            <w:r w:rsidR="002A0638">
              <w:t>úřední postup</w:t>
            </w:r>
            <w:r w:rsidR="00B212EB" w:rsidRPr="00A965E2">
              <w:t xml:space="preserve"> nebo </w:t>
            </w:r>
            <w:r w:rsidR="00F441A0" w:rsidRPr="00A965E2">
              <w:t>chování</w:t>
            </w:r>
            <w:r w:rsidR="00106213" w:rsidRPr="00A965E2">
              <w:t>.</w:t>
            </w:r>
            <w:r w:rsidR="00F91584">
              <w:t xml:space="preserve"> </w:t>
            </w:r>
            <w:r w:rsidR="00F91584" w:rsidRPr="00E9230F">
              <w:rPr>
                <w:szCs w:val="20"/>
              </w:rPr>
              <w:t>Stížnost je podání, jímž se právnické nebo fyzické osoby obracejí na orgány města ve</w:t>
            </w:r>
            <w:r w:rsidR="00F91584">
              <w:rPr>
                <w:szCs w:val="20"/>
              </w:rPr>
              <w:t> </w:t>
            </w:r>
            <w:r w:rsidR="00F91584" w:rsidRPr="00E9230F">
              <w:rPr>
                <w:szCs w:val="20"/>
              </w:rPr>
              <w:t>věci ochrany svých práv a</w:t>
            </w:r>
            <w:r w:rsidR="0015074F">
              <w:rPr>
                <w:szCs w:val="20"/>
              </w:rPr>
              <w:t> </w:t>
            </w:r>
            <w:r w:rsidR="00F91584" w:rsidRPr="00E9230F">
              <w:rPr>
                <w:szCs w:val="20"/>
              </w:rPr>
              <w:t>oprávněných zájmů, a kterým upozorňují na nedostatky či závady, jejichž řešení náleží do</w:t>
            </w:r>
            <w:r w:rsidR="0015074F">
              <w:rPr>
                <w:szCs w:val="20"/>
              </w:rPr>
              <w:t> </w:t>
            </w:r>
            <w:r w:rsidR="00F91584" w:rsidRPr="00E9230F">
              <w:rPr>
                <w:szCs w:val="20"/>
              </w:rPr>
              <w:t xml:space="preserve">působnosti orgánů města. </w:t>
            </w:r>
            <w:r w:rsidR="00F91584" w:rsidRPr="00F91584">
              <w:rPr>
                <w:szCs w:val="20"/>
              </w:rPr>
              <w:t>Stížnost může podat každý, kdo se cítí poškozen na svých právech či oprávněných z</w:t>
            </w:r>
            <w:bookmarkStart w:id="0" w:name="_GoBack"/>
            <w:bookmarkEnd w:id="0"/>
            <w:r w:rsidR="00F91584" w:rsidRPr="00F91584">
              <w:rPr>
                <w:szCs w:val="20"/>
              </w:rPr>
              <w:t>ájmech</w:t>
            </w:r>
            <w:r w:rsidR="00F91584">
              <w:rPr>
                <w:szCs w:val="20"/>
              </w:rPr>
              <w:t>.</w:t>
            </w:r>
          </w:p>
          <w:p w:rsidR="00261CBD" w:rsidRDefault="00B212EB" w:rsidP="00904734">
            <w:pPr>
              <w:pStyle w:val="Odstavecseseznamem"/>
              <w:numPr>
                <w:ilvl w:val="0"/>
                <w:numId w:val="43"/>
              </w:numPr>
              <w:spacing w:before="120" w:after="120" w:line="276" w:lineRule="auto"/>
              <w:ind w:right="103"/>
              <w:jc w:val="both"/>
            </w:pPr>
            <w:r>
              <w:rPr>
                <w:i/>
              </w:rPr>
              <w:t>s</w:t>
            </w:r>
            <w:r w:rsidR="00106213" w:rsidRPr="00B212EB">
              <w:rPr>
                <w:i/>
              </w:rPr>
              <w:t>tížnost p</w:t>
            </w:r>
            <w:r w:rsidRPr="00B212EB">
              <w:rPr>
                <w:i/>
              </w:rPr>
              <w:t>roti úřednímu</w:t>
            </w:r>
            <w:r w:rsidR="00106213" w:rsidRPr="00B212EB">
              <w:rPr>
                <w:i/>
              </w:rPr>
              <w:t xml:space="preserve"> postupu</w:t>
            </w:r>
            <w:r w:rsidR="00106213" w:rsidRPr="00106213">
              <w:t xml:space="preserve"> pracovníka může být podána například, pokud pracovník neinformuje klienta o možnostech řešení situace, nejedná v nejlepším zájmů dítěte, neposkytuje poradenství a podporu odpovídající klientově situaci, neinformu</w:t>
            </w:r>
            <w:r w:rsidR="00106213">
              <w:t>je klienta o plánovaných krocích, odpírá klientovi</w:t>
            </w:r>
            <w:r w:rsidR="003D2F31">
              <w:t xml:space="preserve"> právo nahlédnout do </w:t>
            </w:r>
            <w:r>
              <w:t>jeho spisu.</w:t>
            </w:r>
          </w:p>
          <w:p w:rsidR="00904734" w:rsidRDefault="00B212EB" w:rsidP="00904734">
            <w:pPr>
              <w:pStyle w:val="Odstavecseseznamem"/>
              <w:numPr>
                <w:ilvl w:val="0"/>
                <w:numId w:val="43"/>
              </w:numPr>
              <w:spacing w:before="120" w:after="120" w:line="276" w:lineRule="auto"/>
              <w:ind w:right="103"/>
              <w:jc w:val="both"/>
            </w:pPr>
            <w:r>
              <w:rPr>
                <w:i/>
              </w:rPr>
              <w:t>s</w:t>
            </w:r>
            <w:r w:rsidR="00106213" w:rsidRPr="00B212EB">
              <w:rPr>
                <w:i/>
              </w:rPr>
              <w:t xml:space="preserve">tížnost podána proti </w:t>
            </w:r>
            <w:r w:rsidR="00625C11" w:rsidRPr="00B212EB">
              <w:rPr>
                <w:i/>
              </w:rPr>
              <w:t>chování pracovníka</w:t>
            </w:r>
            <w:r w:rsidR="00625C11">
              <w:t xml:space="preserve"> obsahuje především výtky vůči vulgárnímu vyjadřování pracovníka, podnapilosti, odmítání komunikace, vykazování z prostor úřadu, odmítání </w:t>
            </w:r>
            <w:r>
              <w:t>sdělení informací</w:t>
            </w:r>
            <w:r w:rsidR="00625C11">
              <w:t>.</w:t>
            </w:r>
          </w:p>
          <w:p w:rsidR="00F91584" w:rsidRDefault="00F91584" w:rsidP="00904734">
            <w:pPr>
              <w:pStyle w:val="Odstavecseseznamem"/>
              <w:spacing w:before="120" w:after="120" w:line="276" w:lineRule="auto"/>
              <w:ind w:right="103"/>
              <w:jc w:val="both"/>
            </w:pPr>
          </w:p>
          <w:p w:rsidR="00F10F95" w:rsidRDefault="00625C11" w:rsidP="00852C7E">
            <w:pPr>
              <w:spacing w:before="120" w:after="120" w:line="276" w:lineRule="auto"/>
              <w:ind w:right="103"/>
              <w:jc w:val="both"/>
            </w:pPr>
            <w:r>
              <w:t xml:space="preserve">Stížnost </w:t>
            </w:r>
            <w:r w:rsidRPr="00F91584">
              <w:t xml:space="preserve">lze </w:t>
            </w:r>
            <w:r w:rsidRPr="00F91584">
              <w:rPr>
                <w:i/>
              </w:rPr>
              <w:t xml:space="preserve">podat </w:t>
            </w:r>
            <w:r w:rsidR="00904734" w:rsidRPr="00F91584">
              <w:rPr>
                <w:i/>
              </w:rPr>
              <w:t xml:space="preserve">v listinné formě, a to v písemné nebo elektronické podobě, dále ústně nebo telefonicky. </w:t>
            </w:r>
            <w:r w:rsidRPr="00F91584">
              <w:t>Místem</w:t>
            </w:r>
            <w:r w:rsidRPr="00F91584">
              <w:rPr>
                <w:i/>
              </w:rPr>
              <w:t xml:space="preserve"> </w:t>
            </w:r>
            <w:r w:rsidRPr="00F91584">
              <w:t xml:space="preserve">pro podání stížnosti je </w:t>
            </w:r>
            <w:r w:rsidR="002A0638" w:rsidRPr="00F91584">
              <w:rPr>
                <w:i/>
              </w:rPr>
              <w:t>p</w:t>
            </w:r>
            <w:r w:rsidR="00852C7E" w:rsidRPr="00F91584">
              <w:rPr>
                <w:i/>
              </w:rPr>
              <w:t>odatelna Městského úřadu Příbor</w:t>
            </w:r>
            <w:r w:rsidR="00852C7E" w:rsidRPr="00F91584">
              <w:t>.</w:t>
            </w:r>
          </w:p>
          <w:p w:rsidR="00852C7E" w:rsidRPr="00F91584" w:rsidRDefault="00852C7E" w:rsidP="00F91584">
            <w:pPr>
              <w:spacing w:before="120" w:after="120" w:line="276" w:lineRule="auto"/>
              <w:ind w:right="103"/>
              <w:jc w:val="both"/>
            </w:pPr>
            <w:r>
              <w:t>Ústní stížnosti přijímají pracovníci orgánu sociálně-právní ochrany dětí, kteří jsou povinni ji písemně zaznamenat za přítomnosti stěžovatele</w:t>
            </w:r>
            <w:r w:rsidR="00F91584">
              <w:t xml:space="preserve"> do formuláře, který je přílohou Pravidel pro přijímání a vyřizování stížnosti a petic. Ústní stížnost vyřízená ku prospěchu stěžovatele se v případě, kdy stěžovatel netrvá na sepsání záznamu, za stížnost dále nepovažuje a neeviduje se. Stížnost podaná telefonicky se vyřizuje podle povahy věci buď vysvětlením, nebo se stěžovatel poučí o možnosti podat stížnost písemně nebo osobně ústně prostřednictvím zaměstnance města za pomoci příslušného formuláře</w:t>
            </w:r>
          </w:p>
          <w:p w:rsidR="002473AA" w:rsidRDefault="002473AA" w:rsidP="00852C7E">
            <w:pPr>
              <w:spacing w:before="120" w:after="120" w:line="276" w:lineRule="auto"/>
              <w:ind w:right="103"/>
              <w:jc w:val="both"/>
            </w:pPr>
            <w:r w:rsidRPr="002473AA">
              <w:t xml:space="preserve">V případě, že ze stížnosti </w:t>
            </w:r>
            <w:r w:rsidRPr="0015074F">
              <w:rPr>
                <w:i/>
              </w:rPr>
              <w:t>nebude patrné, čeho se podatel domáhá</w:t>
            </w:r>
            <w:r w:rsidRPr="002473AA">
              <w:t>,</w:t>
            </w:r>
            <w:r w:rsidR="0015074F">
              <w:t xml:space="preserve"> popř. jaké skutečnosti chce pro</w:t>
            </w:r>
            <w:r w:rsidRPr="002473AA">
              <w:t xml:space="preserve">šetřit, vyzve jej </w:t>
            </w:r>
            <w:r>
              <w:t>osoba vyřizující stížnost</w:t>
            </w:r>
            <w:r w:rsidRPr="002473AA">
              <w:t xml:space="preserve"> k</w:t>
            </w:r>
            <w:r w:rsidR="00D261ED">
              <w:t> </w:t>
            </w:r>
            <w:r w:rsidRPr="002473AA">
              <w:t>upřesnění</w:t>
            </w:r>
            <w:r w:rsidR="00D261ED">
              <w:t>.</w:t>
            </w:r>
          </w:p>
          <w:p w:rsidR="00AE2178" w:rsidRPr="0015074F" w:rsidRDefault="002F6F49" w:rsidP="003A6667">
            <w:pPr>
              <w:spacing w:before="120" w:after="120" w:line="276" w:lineRule="auto"/>
              <w:ind w:right="103"/>
              <w:jc w:val="both"/>
            </w:pPr>
            <w:r w:rsidRPr="0015074F">
              <w:t>Stížnosti se vyřizují</w:t>
            </w:r>
            <w:r w:rsidR="009A4622" w:rsidRPr="0015074F">
              <w:t xml:space="preserve"> </w:t>
            </w:r>
            <w:r w:rsidR="00AE2178" w:rsidRPr="0015074F">
              <w:t>bez průtahů, nejpozději do 30 kalendářních dnů.</w:t>
            </w:r>
          </w:p>
          <w:p w:rsidR="002F6F49" w:rsidRDefault="002F6F49" w:rsidP="003A6667">
            <w:pPr>
              <w:spacing w:before="120" w:after="120" w:line="276" w:lineRule="auto"/>
              <w:ind w:right="103"/>
              <w:jc w:val="both"/>
              <w:rPr>
                <w:szCs w:val="20"/>
              </w:rPr>
            </w:pPr>
            <w:r w:rsidRPr="0015074F">
              <w:rPr>
                <w:szCs w:val="20"/>
              </w:rPr>
              <w:t xml:space="preserve">O </w:t>
            </w:r>
            <w:r w:rsidRPr="0015074F">
              <w:rPr>
                <w:i/>
                <w:szCs w:val="20"/>
              </w:rPr>
              <w:t>vyřízení stížnosti</w:t>
            </w:r>
            <w:r w:rsidRPr="0015074F">
              <w:rPr>
                <w:szCs w:val="20"/>
              </w:rPr>
              <w:t xml:space="preserve"> se vždy informuje stěžovatel i ten, proti komu je stížnost směřována.</w:t>
            </w:r>
            <w:r w:rsidR="009A4622" w:rsidRPr="0015074F">
              <w:rPr>
                <w:szCs w:val="20"/>
              </w:rPr>
              <w:t xml:space="preserve"> Výsledkem prošetření stížnosti</w:t>
            </w:r>
            <w:r w:rsidR="0035702B" w:rsidRPr="0015074F">
              <w:rPr>
                <w:szCs w:val="20"/>
              </w:rPr>
              <w:t xml:space="preserve"> je písemná</w:t>
            </w:r>
            <w:r w:rsidR="009A4622" w:rsidRPr="0015074F">
              <w:rPr>
                <w:szCs w:val="20"/>
              </w:rPr>
              <w:t xml:space="preserve"> zpráva obsahující konstatování, zda byla stížnost důvodná, částečně důvodná nebo nedůvodná</w:t>
            </w:r>
            <w:r w:rsidR="00EB1994" w:rsidRPr="0015074F">
              <w:rPr>
                <w:szCs w:val="20"/>
              </w:rPr>
              <w:t>.</w:t>
            </w:r>
            <w:r w:rsidR="0015074F" w:rsidRPr="0015074F">
              <w:t xml:space="preserve"> V případě důvodných či částečně důvodných stížností zpracovatel uvede, jaké bylo přijato nápravné opatření.</w:t>
            </w:r>
            <w:r w:rsidR="0015074F" w:rsidRPr="00C04BF2">
              <w:t xml:space="preserve">  </w:t>
            </w:r>
          </w:p>
          <w:p w:rsidR="004D04DF" w:rsidRDefault="007635EA" w:rsidP="00EB1994">
            <w:pPr>
              <w:spacing w:before="120" w:after="120" w:line="276" w:lineRule="auto"/>
              <w:ind w:right="103"/>
              <w:jc w:val="both"/>
            </w:pPr>
            <w:r>
              <w:t>Všechny stížnosti jsou vedeny v </w:t>
            </w:r>
            <w:r w:rsidRPr="009A4622">
              <w:rPr>
                <w:i/>
              </w:rPr>
              <w:t>Centrální evidenci stížností</w:t>
            </w:r>
            <w:r w:rsidR="002A0638">
              <w:rPr>
                <w:i/>
              </w:rPr>
              <w:t xml:space="preserve"> </w:t>
            </w:r>
            <w:r w:rsidR="002A0638">
              <w:t>Městského úřadu Příbor</w:t>
            </w:r>
            <w:r w:rsidR="00EB1994">
              <w:t>.</w:t>
            </w:r>
          </w:p>
          <w:p w:rsidR="0006131A" w:rsidRDefault="0006131A" w:rsidP="00EB1994">
            <w:pPr>
              <w:spacing w:before="120" w:after="120" w:line="276" w:lineRule="auto"/>
              <w:ind w:right="103"/>
              <w:jc w:val="both"/>
            </w:pPr>
          </w:p>
          <w:p w:rsidR="002617E7" w:rsidRDefault="00380717" w:rsidP="00791406">
            <w:pPr>
              <w:spacing w:before="120" w:after="120" w:line="276" w:lineRule="auto"/>
              <w:ind w:right="103"/>
              <w:jc w:val="both"/>
            </w:pPr>
            <w:r>
              <w:t xml:space="preserve">Podávání, vyřizování a evidence </w:t>
            </w:r>
            <w:r w:rsidR="00CA16D8">
              <w:t>stížností se řídí</w:t>
            </w:r>
            <w:r>
              <w:t xml:space="preserve"> </w:t>
            </w:r>
            <w:r w:rsidR="00CA16D8">
              <w:t>Pravidly pro přijímání a vy</w:t>
            </w:r>
            <w:r w:rsidR="00F91584">
              <w:t>řizování stížnosti a petic č. 5/2017</w:t>
            </w:r>
            <w:r w:rsidR="00CA16D8">
              <w:t>, které schválila Rada m</w:t>
            </w:r>
            <w:r w:rsidR="00F91584">
              <w:t>ěsta Příbora s účinnosti od 1. listopadu 2017</w:t>
            </w:r>
            <w:r w:rsidR="00CA16D8">
              <w:t xml:space="preserve">. Těmito pravidly jsou povinni řídit se všichni zaměstnanci Městského úřadu Příbor. Z těchto pravidel vycházejí Pravidla orgánu sociálně-právní ochrany dětí Městského úřadu </w:t>
            </w:r>
            <w:r w:rsidR="00CA16D8">
              <w:lastRenderedPageBreak/>
              <w:t>Příbor pro podávání, vyřizování a evidenci stížnosti</w:t>
            </w:r>
            <w:r w:rsidR="00791406">
              <w:t>, která byla vytvořena pro lepší srozumitelnost klientů orgánu sociálně-právní ochrany. Všichni pracovníci jsou povinni klientům poradit ve věci podávání stížností.</w:t>
            </w:r>
          </w:p>
          <w:p w:rsidR="002617E7" w:rsidRDefault="002617E7" w:rsidP="00791406">
            <w:pPr>
              <w:spacing w:before="120" w:after="120" w:line="276" w:lineRule="auto"/>
              <w:ind w:right="103"/>
              <w:jc w:val="both"/>
            </w:pPr>
          </w:p>
          <w:p w:rsidR="0015074F" w:rsidRDefault="002617E7" w:rsidP="002617E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  <w:r w:rsidRPr="0006131A">
              <w:rPr>
                <w:color w:val="000000"/>
              </w:rPr>
              <w:t xml:space="preserve">V Příboře dne </w:t>
            </w:r>
            <w:r w:rsidR="00E75794">
              <w:rPr>
                <w:color w:val="000000"/>
              </w:rPr>
              <w:t>22</w:t>
            </w:r>
            <w:r w:rsidR="0015074F" w:rsidRPr="0006131A">
              <w:rPr>
                <w:color w:val="000000"/>
              </w:rPr>
              <w:t xml:space="preserve">. </w:t>
            </w:r>
            <w:r w:rsidR="00E75794">
              <w:rPr>
                <w:color w:val="000000"/>
              </w:rPr>
              <w:t>listopadu</w:t>
            </w:r>
            <w:r w:rsidR="0015074F" w:rsidRPr="0006131A">
              <w:rPr>
                <w:color w:val="000000"/>
              </w:rPr>
              <w:t xml:space="preserve"> 2017</w:t>
            </w:r>
            <w:r w:rsidRPr="002617E7">
              <w:rPr>
                <w:color w:val="000000"/>
              </w:rPr>
              <w:t xml:space="preserve">                                 </w:t>
            </w:r>
          </w:p>
          <w:p w:rsidR="0023189E" w:rsidRDefault="002617E7" w:rsidP="002617E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  <w:r w:rsidRPr="002617E7">
              <w:rPr>
                <w:color w:val="000000"/>
              </w:rPr>
              <w:t xml:space="preserve">  </w:t>
            </w:r>
          </w:p>
          <w:p w:rsidR="0015074F" w:rsidRDefault="0015074F" w:rsidP="002617E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</w:p>
          <w:p w:rsidR="002617E7" w:rsidRPr="002617E7" w:rsidRDefault="0023189E" w:rsidP="002617E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 w:rsidR="002617E7" w:rsidRPr="002617E7">
              <w:rPr>
                <w:color w:val="000000"/>
              </w:rPr>
              <w:t xml:space="preserve">Ing. Arnošt Vaněk   </w:t>
            </w:r>
            <w:r>
              <w:rPr>
                <w:color w:val="000000"/>
              </w:rPr>
              <w:t xml:space="preserve">                                          </w:t>
            </w:r>
            <w:r w:rsidRPr="002617E7">
              <w:rPr>
                <w:color w:val="000000"/>
              </w:rPr>
              <w:t>Bc. Lenka Filipcová</w:t>
            </w:r>
          </w:p>
          <w:p w:rsidR="002617E7" w:rsidRPr="002617E7" w:rsidRDefault="0023189E" w:rsidP="002617E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 w:rsidR="002A0638">
              <w:rPr>
                <w:color w:val="000000"/>
              </w:rPr>
              <w:t>t</w:t>
            </w:r>
            <w:r w:rsidR="002617E7" w:rsidRPr="002617E7">
              <w:rPr>
                <w:color w:val="000000"/>
              </w:rPr>
              <w:t>ajemník MÚ Příbor</w:t>
            </w:r>
            <w:r w:rsidRPr="002617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</w:t>
            </w:r>
            <w:r w:rsidR="002A0638">
              <w:rPr>
                <w:color w:val="000000"/>
              </w:rPr>
              <w:t>v</w:t>
            </w:r>
            <w:r w:rsidRPr="002617E7">
              <w:rPr>
                <w:color w:val="000000"/>
              </w:rPr>
              <w:t>edoucí odboru sociálních věcí MÚ Příbor</w:t>
            </w:r>
          </w:p>
          <w:p w:rsidR="0015074F" w:rsidRDefault="0015074F" w:rsidP="002617E7">
            <w:pPr>
              <w:spacing w:before="120" w:after="120" w:line="276" w:lineRule="auto"/>
              <w:ind w:right="103"/>
              <w:jc w:val="both"/>
              <w:rPr>
                <w:b/>
                <w:color w:val="000000"/>
              </w:rPr>
            </w:pPr>
          </w:p>
          <w:p w:rsidR="002617E7" w:rsidRPr="00E4244A" w:rsidRDefault="003D2F31" w:rsidP="002617E7">
            <w:pPr>
              <w:spacing w:before="120" w:after="120" w:line="276" w:lineRule="auto"/>
              <w:ind w:right="103"/>
              <w:jc w:val="both"/>
              <w:rPr>
                <w:b/>
                <w:color w:val="000000"/>
              </w:rPr>
            </w:pPr>
            <w:r w:rsidRPr="00E4244A">
              <w:rPr>
                <w:b/>
                <w:color w:val="000000"/>
              </w:rPr>
              <w:t>Přílohy:</w:t>
            </w:r>
          </w:p>
          <w:p w:rsidR="008863A8" w:rsidRDefault="00925C4E" w:rsidP="003A666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  <w:r>
              <w:rPr>
                <w:color w:val="000000"/>
              </w:rPr>
              <w:t>Příloha č. 22</w:t>
            </w:r>
            <w:r w:rsidR="003D2F31">
              <w:rPr>
                <w:color w:val="000000"/>
              </w:rPr>
              <w:t>: Pravidla pro přijímání a v</w:t>
            </w:r>
            <w:r w:rsidR="00F91584">
              <w:rPr>
                <w:color w:val="000000"/>
              </w:rPr>
              <w:t>yřizování stížností a petic č. 5/2017</w:t>
            </w:r>
            <w:r w:rsidR="003D2F31">
              <w:rPr>
                <w:color w:val="000000"/>
              </w:rPr>
              <w:t>.</w:t>
            </w:r>
          </w:p>
          <w:p w:rsidR="005E3B10" w:rsidRPr="00A20760" w:rsidRDefault="00F51666" w:rsidP="003A6667">
            <w:pPr>
              <w:spacing w:before="120" w:after="120" w:line="276" w:lineRule="auto"/>
              <w:ind w:right="103"/>
              <w:jc w:val="both"/>
              <w:rPr>
                <w:color w:val="000000"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8863A8" w:rsidRDefault="008863A8" w:rsidP="00505D59">
      <w:pPr>
        <w:spacing w:before="120" w:after="120" w:line="276" w:lineRule="auto"/>
      </w:pPr>
    </w:p>
    <w:p w:rsidR="008863A8" w:rsidRPr="008863A8" w:rsidRDefault="008863A8" w:rsidP="00A80EFC">
      <w:pPr>
        <w:tabs>
          <w:tab w:val="left" w:pos="4770"/>
          <w:tab w:val="right" w:pos="7609"/>
        </w:tabs>
      </w:pPr>
      <w:r w:rsidRPr="008863A8">
        <w:t xml:space="preserve"> </w:t>
      </w:r>
    </w:p>
    <w:p w:rsidR="008863A8" w:rsidRDefault="008863A8" w:rsidP="00505D59">
      <w:pPr>
        <w:spacing w:before="120" w:after="120" w:line="276" w:lineRule="auto"/>
      </w:pPr>
    </w:p>
    <w:sectPr w:rsidR="008863A8" w:rsidSect="0007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33B" w:rsidRDefault="00BD733B" w:rsidP="00EB6126">
      <w:r>
        <w:separator/>
      </w:r>
    </w:p>
  </w:endnote>
  <w:endnote w:type="continuationSeparator" w:id="0">
    <w:p w:rsidR="00BD733B" w:rsidRDefault="00BD733B" w:rsidP="00E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33B" w:rsidRDefault="00BD733B" w:rsidP="00EB6126">
      <w:r>
        <w:separator/>
      </w:r>
    </w:p>
  </w:footnote>
  <w:footnote w:type="continuationSeparator" w:id="0">
    <w:p w:rsidR="00BD733B" w:rsidRDefault="00BD733B" w:rsidP="00E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50BD"/>
    <w:multiLevelType w:val="hybridMultilevel"/>
    <w:tmpl w:val="FAC84D0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7E52AE"/>
    <w:multiLevelType w:val="hybridMultilevel"/>
    <w:tmpl w:val="E1CAA64E"/>
    <w:lvl w:ilvl="0" w:tplc="264A72F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6EB1292"/>
    <w:multiLevelType w:val="hybridMultilevel"/>
    <w:tmpl w:val="E2D82E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0F18"/>
    <w:multiLevelType w:val="hybridMultilevel"/>
    <w:tmpl w:val="45BC9AFC"/>
    <w:lvl w:ilvl="0" w:tplc="81DC4E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34B980">
      <w:start w:val="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625F"/>
    <w:multiLevelType w:val="hybridMultilevel"/>
    <w:tmpl w:val="E4F8B310"/>
    <w:lvl w:ilvl="0" w:tplc="9D621ECC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094F3E74"/>
    <w:multiLevelType w:val="hybridMultilevel"/>
    <w:tmpl w:val="67A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16088"/>
    <w:multiLevelType w:val="hybridMultilevel"/>
    <w:tmpl w:val="17B86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845F1"/>
    <w:multiLevelType w:val="hybridMultilevel"/>
    <w:tmpl w:val="063ED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C25B3"/>
    <w:multiLevelType w:val="hybridMultilevel"/>
    <w:tmpl w:val="1EFE6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A2F75"/>
    <w:multiLevelType w:val="hybridMultilevel"/>
    <w:tmpl w:val="C52CC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1305DD"/>
    <w:multiLevelType w:val="hybridMultilevel"/>
    <w:tmpl w:val="530C6E96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666CDE"/>
    <w:multiLevelType w:val="hybridMultilevel"/>
    <w:tmpl w:val="87428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F1A50"/>
    <w:multiLevelType w:val="hybridMultilevel"/>
    <w:tmpl w:val="626EA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105FF"/>
    <w:multiLevelType w:val="hybridMultilevel"/>
    <w:tmpl w:val="83CCC278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82D2171"/>
    <w:multiLevelType w:val="hybridMultilevel"/>
    <w:tmpl w:val="2B7C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844FE"/>
    <w:multiLevelType w:val="hybridMultilevel"/>
    <w:tmpl w:val="2FC62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64490"/>
    <w:multiLevelType w:val="hybridMultilevel"/>
    <w:tmpl w:val="B16E4D38"/>
    <w:lvl w:ilvl="0" w:tplc="04050017">
      <w:start w:val="1"/>
      <w:numFmt w:val="lowerLetter"/>
      <w:lvlText w:val="%1)"/>
      <w:lvlJc w:val="left"/>
      <w:pPr>
        <w:tabs>
          <w:tab w:val="num" w:pos="195"/>
        </w:tabs>
        <w:ind w:left="19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15"/>
        </w:tabs>
        <w:ind w:left="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35"/>
        </w:tabs>
        <w:ind w:left="1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55"/>
        </w:tabs>
        <w:ind w:left="2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75"/>
        </w:tabs>
        <w:ind w:left="3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15"/>
        </w:tabs>
        <w:ind w:left="4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35"/>
        </w:tabs>
        <w:ind w:left="5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55"/>
        </w:tabs>
        <w:ind w:left="5955" w:hanging="180"/>
      </w:pPr>
    </w:lvl>
  </w:abstractNum>
  <w:abstractNum w:abstractNumId="17" w15:restartNumberingAfterBreak="0">
    <w:nsid w:val="23F07404"/>
    <w:multiLevelType w:val="hybridMultilevel"/>
    <w:tmpl w:val="57DE54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C4CFF"/>
    <w:multiLevelType w:val="hybridMultilevel"/>
    <w:tmpl w:val="381E2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922D9"/>
    <w:multiLevelType w:val="hybridMultilevel"/>
    <w:tmpl w:val="539268C0"/>
    <w:lvl w:ilvl="0" w:tplc="FE6C3A66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990332E">
      <w:start w:val="1"/>
      <w:numFmt w:val="lowerLetter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27022A36"/>
    <w:multiLevelType w:val="hybridMultilevel"/>
    <w:tmpl w:val="0BCE547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52811"/>
    <w:multiLevelType w:val="hybridMultilevel"/>
    <w:tmpl w:val="AF806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302C7"/>
    <w:multiLevelType w:val="hybridMultilevel"/>
    <w:tmpl w:val="7C84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84D9A"/>
    <w:multiLevelType w:val="hybridMultilevel"/>
    <w:tmpl w:val="903E36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2D26C7"/>
    <w:multiLevelType w:val="hybridMultilevel"/>
    <w:tmpl w:val="8F9861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34B94"/>
    <w:multiLevelType w:val="hybridMultilevel"/>
    <w:tmpl w:val="FA1454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E43CD3"/>
    <w:multiLevelType w:val="hybridMultilevel"/>
    <w:tmpl w:val="7B502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71DCF"/>
    <w:multiLevelType w:val="hybridMultilevel"/>
    <w:tmpl w:val="4A5AC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35370"/>
    <w:multiLevelType w:val="hybridMultilevel"/>
    <w:tmpl w:val="56A8D3BA"/>
    <w:lvl w:ilvl="0" w:tplc="7CF06502">
      <w:start w:val="2"/>
      <w:numFmt w:val="decimal"/>
      <w:lvlText w:val="(%1)"/>
      <w:lvlJc w:val="left"/>
      <w:pPr>
        <w:tabs>
          <w:tab w:val="num" w:pos="390"/>
        </w:tabs>
        <w:ind w:left="39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3E756144"/>
    <w:multiLevelType w:val="hybridMultilevel"/>
    <w:tmpl w:val="4C20E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1347E2"/>
    <w:multiLevelType w:val="hybridMultilevel"/>
    <w:tmpl w:val="D286E450"/>
    <w:lvl w:ilvl="0" w:tplc="7ED2DDB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 w15:restartNumberingAfterBreak="0">
    <w:nsid w:val="48385337"/>
    <w:multiLevelType w:val="hybridMultilevel"/>
    <w:tmpl w:val="70365D74"/>
    <w:lvl w:ilvl="0" w:tplc="67DA80E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8D83D78"/>
    <w:multiLevelType w:val="hybridMultilevel"/>
    <w:tmpl w:val="DBCE1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B33BF"/>
    <w:multiLevelType w:val="hybridMultilevel"/>
    <w:tmpl w:val="FD601804"/>
    <w:lvl w:ilvl="0" w:tplc="EC3695BE">
      <w:start w:val="1"/>
      <w:numFmt w:val="lowerLetter"/>
      <w:lvlText w:val="%1)"/>
      <w:lvlJc w:val="left"/>
      <w:pPr>
        <w:ind w:left="360" w:firstLine="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219A5"/>
    <w:multiLevelType w:val="hybridMultilevel"/>
    <w:tmpl w:val="FE70B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206D0"/>
    <w:multiLevelType w:val="hybridMultilevel"/>
    <w:tmpl w:val="1BE80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35837"/>
    <w:multiLevelType w:val="hybridMultilevel"/>
    <w:tmpl w:val="56989458"/>
    <w:lvl w:ilvl="0" w:tplc="04050017">
      <w:start w:val="1"/>
      <w:numFmt w:val="lowerLetter"/>
      <w:lvlText w:val="%1)"/>
      <w:lvlJc w:val="left"/>
      <w:pPr>
        <w:tabs>
          <w:tab w:val="num" w:pos="195"/>
        </w:tabs>
        <w:ind w:left="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05CC"/>
    <w:multiLevelType w:val="hybridMultilevel"/>
    <w:tmpl w:val="43DE2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A67D9C">
      <w:numFmt w:val="bullet"/>
      <w:lvlText w:val="•"/>
      <w:lvlJc w:val="left"/>
      <w:pPr>
        <w:ind w:left="1440" w:hanging="360"/>
      </w:pPr>
      <w:rPr>
        <w:rFonts w:ascii="Helvetica Light" w:eastAsia="Calibri" w:hAnsi="Helvetica Light" w:cs="Helvetica Light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E3045"/>
    <w:multiLevelType w:val="hybridMultilevel"/>
    <w:tmpl w:val="E770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14CEC"/>
    <w:multiLevelType w:val="hybridMultilevel"/>
    <w:tmpl w:val="9FB8E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B221B"/>
    <w:multiLevelType w:val="hybridMultilevel"/>
    <w:tmpl w:val="25EE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74DB8"/>
    <w:multiLevelType w:val="hybridMultilevel"/>
    <w:tmpl w:val="232C9C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76E1C"/>
    <w:multiLevelType w:val="hybridMultilevel"/>
    <w:tmpl w:val="CA20C72C"/>
    <w:lvl w:ilvl="0" w:tplc="3F76F5B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CB51283"/>
    <w:multiLevelType w:val="hybridMultilevel"/>
    <w:tmpl w:val="B5EED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52D70"/>
    <w:multiLevelType w:val="hybridMultilevel"/>
    <w:tmpl w:val="AB009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F7D62"/>
    <w:multiLevelType w:val="hybridMultilevel"/>
    <w:tmpl w:val="6058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65689"/>
    <w:multiLevelType w:val="hybridMultilevel"/>
    <w:tmpl w:val="01067B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11"/>
  </w:num>
  <w:num w:numId="3">
    <w:abstractNumId w:val="29"/>
  </w:num>
  <w:num w:numId="4">
    <w:abstractNumId w:val="38"/>
  </w:num>
  <w:num w:numId="5">
    <w:abstractNumId w:val="13"/>
  </w:num>
  <w:num w:numId="6">
    <w:abstractNumId w:val="20"/>
  </w:num>
  <w:num w:numId="7">
    <w:abstractNumId w:val="13"/>
  </w:num>
  <w:num w:numId="8">
    <w:abstractNumId w:val="39"/>
  </w:num>
  <w:num w:numId="9">
    <w:abstractNumId w:val="8"/>
  </w:num>
  <w:num w:numId="10">
    <w:abstractNumId w:val="43"/>
  </w:num>
  <w:num w:numId="11">
    <w:abstractNumId w:val="45"/>
  </w:num>
  <w:num w:numId="12">
    <w:abstractNumId w:val="7"/>
  </w:num>
  <w:num w:numId="13">
    <w:abstractNumId w:val="26"/>
  </w:num>
  <w:num w:numId="14">
    <w:abstractNumId w:val="9"/>
  </w:num>
  <w:num w:numId="15">
    <w:abstractNumId w:val="34"/>
  </w:num>
  <w:num w:numId="16">
    <w:abstractNumId w:val="5"/>
  </w:num>
  <w:num w:numId="17">
    <w:abstractNumId w:val="44"/>
  </w:num>
  <w:num w:numId="18">
    <w:abstractNumId w:val="32"/>
  </w:num>
  <w:num w:numId="19">
    <w:abstractNumId w:val="35"/>
  </w:num>
  <w:num w:numId="20">
    <w:abstractNumId w:val="27"/>
  </w:num>
  <w:num w:numId="21">
    <w:abstractNumId w:val="12"/>
  </w:num>
  <w:num w:numId="22">
    <w:abstractNumId w:val="46"/>
  </w:num>
  <w:num w:numId="23">
    <w:abstractNumId w:val="14"/>
  </w:num>
  <w:num w:numId="24">
    <w:abstractNumId w:val="21"/>
  </w:num>
  <w:num w:numId="25">
    <w:abstractNumId w:val="24"/>
  </w:num>
  <w:num w:numId="26">
    <w:abstractNumId w:val="18"/>
  </w:num>
  <w:num w:numId="27">
    <w:abstractNumId w:val="6"/>
  </w:num>
  <w:num w:numId="28">
    <w:abstractNumId w:val="40"/>
  </w:num>
  <w:num w:numId="29">
    <w:abstractNumId w:val="22"/>
  </w:num>
  <w:num w:numId="30">
    <w:abstractNumId w:val="15"/>
  </w:num>
  <w:num w:numId="31">
    <w:abstractNumId w:val="42"/>
  </w:num>
  <w:num w:numId="32">
    <w:abstractNumId w:val="31"/>
  </w:num>
  <w:num w:numId="33">
    <w:abstractNumId w:val="3"/>
  </w:num>
  <w:num w:numId="34">
    <w:abstractNumId w:val="17"/>
  </w:num>
  <w:num w:numId="35">
    <w:abstractNumId w:val="25"/>
  </w:num>
  <w:num w:numId="36">
    <w:abstractNumId w:val="19"/>
  </w:num>
  <w:num w:numId="37">
    <w:abstractNumId w:val="28"/>
  </w:num>
  <w:num w:numId="38">
    <w:abstractNumId w:val="4"/>
  </w:num>
  <w:num w:numId="39">
    <w:abstractNumId w:val="1"/>
  </w:num>
  <w:num w:numId="40">
    <w:abstractNumId w:val="30"/>
  </w:num>
  <w:num w:numId="41">
    <w:abstractNumId w:val="0"/>
  </w:num>
  <w:num w:numId="42">
    <w:abstractNumId w:val="10"/>
  </w:num>
  <w:num w:numId="43">
    <w:abstractNumId w:val="41"/>
  </w:num>
  <w:num w:numId="44">
    <w:abstractNumId w:val="33"/>
  </w:num>
  <w:num w:numId="45">
    <w:abstractNumId w:val="16"/>
  </w:num>
  <w:num w:numId="46">
    <w:abstractNumId w:val="2"/>
  </w:num>
  <w:num w:numId="47">
    <w:abstractNumId w:val="3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90"/>
    <w:rsid w:val="00022999"/>
    <w:rsid w:val="00033BD0"/>
    <w:rsid w:val="00054C11"/>
    <w:rsid w:val="0006131A"/>
    <w:rsid w:val="00065A88"/>
    <w:rsid w:val="0007039B"/>
    <w:rsid w:val="00076F6F"/>
    <w:rsid w:val="00081499"/>
    <w:rsid w:val="00086070"/>
    <w:rsid w:val="000A63C0"/>
    <w:rsid w:val="000B6E08"/>
    <w:rsid w:val="000C7388"/>
    <w:rsid w:val="000D06C1"/>
    <w:rsid w:val="000E193A"/>
    <w:rsid w:val="00103CFE"/>
    <w:rsid w:val="00106213"/>
    <w:rsid w:val="00122BCE"/>
    <w:rsid w:val="00123D1F"/>
    <w:rsid w:val="00132FFA"/>
    <w:rsid w:val="00146339"/>
    <w:rsid w:val="0015074F"/>
    <w:rsid w:val="00196A57"/>
    <w:rsid w:val="00197C1E"/>
    <w:rsid w:val="001A714E"/>
    <w:rsid w:val="002221F7"/>
    <w:rsid w:val="00222E6B"/>
    <w:rsid w:val="0023189E"/>
    <w:rsid w:val="00242C34"/>
    <w:rsid w:val="00243E7F"/>
    <w:rsid w:val="002473AA"/>
    <w:rsid w:val="00253394"/>
    <w:rsid w:val="002617E7"/>
    <w:rsid w:val="00261CBD"/>
    <w:rsid w:val="00264BFF"/>
    <w:rsid w:val="00294EC4"/>
    <w:rsid w:val="00296C01"/>
    <w:rsid w:val="002A0638"/>
    <w:rsid w:val="002A5B52"/>
    <w:rsid w:val="002B53BD"/>
    <w:rsid w:val="002D15DB"/>
    <w:rsid w:val="002D38CC"/>
    <w:rsid w:val="002E4DC2"/>
    <w:rsid w:val="002F6F49"/>
    <w:rsid w:val="003028C9"/>
    <w:rsid w:val="00314AD1"/>
    <w:rsid w:val="003219F9"/>
    <w:rsid w:val="003363F2"/>
    <w:rsid w:val="003436E6"/>
    <w:rsid w:val="0035702B"/>
    <w:rsid w:val="00380717"/>
    <w:rsid w:val="00397749"/>
    <w:rsid w:val="003A470D"/>
    <w:rsid w:val="003A6667"/>
    <w:rsid w:val="003B5561"/>
    <w:rsid w:val="003C2795"/>
    <w:rsid w:val="003D2F31"/>
    <w:rsid w:val="003F1211"/>
    <w:rsid w:val="003F4E80"/>
    <w:rsid w:val="00415886"/>
    <w:rsid w:val="004214B3"/>
    <w:rsid w:val="00455571"/>
    <w:rsid w:val="0049141B"/>
    <w:rsid w:val="004C74AA"/>
    <w:rsid w:val="004D04DF"/>
    <w:rsid w:val="004D2F17"/>
    <w:rsid w:val="004E157C"/>
    <w:rsid w:val="004F4B87"/>
    <w:rsid w:val="00504F40"/>
    <w:rsid w:val="00505D59"/>
    <w:rsid w:val="005200FB"/>
    <w:rsid w:val="00523BAE"/>
    <w:rsid w:val="00543754"/>
    <w:rsid w:val="00550159"/>
    <w:rsid w:val="005742AA"/>
    <w:rsid w:val="00574F15"/>
    <w:rsid w:val="00580762"/>
    <w:rsid w:val="005A5485"/>
    <w:rsid w:val="005C649C"/>
    <w:rsid w:val="005E3B10"/>
    <w:rsid w:val="00603CB9"/>
    <w:rsid w:val="00615B0B"/>
    <w:rsid w:val="00616222"/>
    <w:rsid w:val="00625C11"/>
    <w:rsid w:val="00637631"/>
    <w:rsid w:val="006402F4"/>
    <w:rsid w:val="00647CEA"/>
    <w:rsid w:val="00653447"/>
    <w:rsid w:val="00671E8B"/>
    <w:rsid w:val="006C012C"/>
    <w:rsid w:val="006D7611"/>
    <w:rsid w:val="0071016E"/>
    <w:rsid w:val="00715F6A"/>
    <w:rsid w:val="007356C7"/>
    <w:rsid w:val="007635EA"/>
    <w:rsid w:val="00767897"/>
    <w:rsid w:val="00791406"/>
    <w:rsid w:val="007D43F6"/>
    <w:rsid w:val="007D46F5"/>
    <w:rsid w:val="008034A6"/>
    <w:rsid w:val="00817F41"/>
    <w:rsid w:val="00852C7E"/>
    <w:rsid w:val="00865D33"/>
    <w:rsid w:val="00882A23"/>
    <w:rsid w:val="008863A8"/>
    <w:rsid w:val="008C0485"/>
    <w:rsid w:val="00904734"/>
    <w:rsid w:val="00925C4E"/>
    <w:rsid w:val="009320DB"/>
    <w:rsid w:val="009372E0"/>
    <w:rsid w:val="0095502E"/>
    <w:rsid w:val="009928CF"/>
    <w:rsid w:val="009A293B"/>
    <w:rsid w:val="009A4622"/>
    <w:rsid w:val="009B3F27"/>
    <w:rsid w:val="009C4143"/>
    <w:rsid w:val="009D1C71"/>
    <w:rsid w:val="009D3898"/>
    <w:rsid w:val="009E0C9B"/>
    <w:rsid w:val="00A20760"/>
    <w:rsid w:val="00A37FA9"/>
    <w:rsid w:val="00A40790"/>
    <w:rsid w:val="00A5417D"/>
    <w:rsid w:val="00A6174E"/>
    <w:rsid w:val="00A66366"/>
    <w:rsid w:val="00A708EA"/>
    <w:rsid w:val="00A80EFC"/>
    <w:rsid w:val="00A965E2"/>
    <w:rsid w:val="00AA37F4"/>
    <w:rsid w:val="00AE2178"/>
    <w:rsid w:val="00B212EB"/>
    <w:rsid w:val="00B8668C"/>
    <w:rsid w:val="00BB48D3"/>
    <w:rsid w:val="00BB7752"/>
    <w:rsid w:val="00BD733B"/>
    <w:rsid w:val="00BF20F4"/>
    <w:rsid w:val="00C00E87"/>
    <w:rsid w:val="00C01EF7"/>
    <w:rsid w:val="00C04BF2"/>
    <w:rsid w:val="00C24691"/>
    <w:rsid w:val="00C858EE"/>
    <w:rsid w:val="00C935A9"/>
    <w:rsid w:val="00C95D42"/>
    <w:rsid w:val="00CA0F19"/>
    <w:rsid w:val="00CA16D8"/>
    <w:rsid w:val="00CA3452"/>
    <w:rsid w:val="00CB7BD1"/>
    <w:rsid w:val="00CE4BC4"/>
    <w:rsid w:val="00D261ED"/>
    <w:rsid w:val="00D531F7"/>
    <w:rsid w:val="00D831A2"/>
    <w:rsid w:val="00D95016"/>
    <w:rsid w:val="00DA4A8D"/>
    <w:rsid w:val="00DA6EF1"/>
    <w:rsid w:val="00DA7A56"/>
    <w:rsid w:val="00DC037B"/>
    <w:rsid w:val="00DC2EFA"/>
    <w:rsid w:val="00E045C9"/>
    <w:rsid w:val="00E13B98"/>
    <w:rsid w:val="00E2449D"/>
    <w:rsid w:val="00E2519A"/>
    <w:rsid w:val="00E4244A"/>
    <w:rsid w:val="00E442DF"/>
    <w:rsid w:val="00E53687"/>
    <w:rsid w:val="00E61F05"/>
    <w:rsid w:val="00E75794"/>
    <w:rsid w:val="00EA7D60"/>
    <w:rsid w:val="00EB1994"/>
    <w:rsid w:val="00EB6126"/>
    <w:rsid w:val="00F10F95"/>
    <w:rsid w:val="00F12E3A"/>
    <w:rsid w:val="00F441A0"/>
    <w:rsid w:val="00F50B2B"/>
    <w:rsid w:val="00F51666"/>
    <w:rsid w:val="00F60500"/>
    <w:rsid w:val="00F91584"/>
    <w:rsid w:val="00F91E02"/>
    <w:rsid w:val="00FA6E15"/>
    <w:rsid w:val="00FB3890"/>
    <w:rsid w:val="00FC0DF2"/>
    <w:rsid w:val="00FC4BC7"/>
    <w:rsid w:val="00FC51B5"/>
    <w:rsid w:val="00FC6255"/>
    <w:rsid w:val="00FD5B3F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AA415-1740-4135-9BD7-43FFA1DB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320DB"/>
    <w:pPr>
      <w:keepNext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9320DB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qFormat/>
    <w:rsid w:val="009320DB"/>
    <w:pPr>
      <w:keepNext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320DB"/>
    <w:pPr>
      <w:keepNext/>
      <w:jc w:val="center"/>
      <w:outlineLvl w:val="3"/>
    </w:pPr>
    <w:rPr>
      <w:b/>
      <w:bCs/>
      <w:caps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9320DB"/>
    <w:pPr>
      <w:keepNext/>
      <w:outlineLvl w:val="4"/>
    </w:pPr>
    <w:rPr>
      <w:color w:val="FF0000"/>
      <w:szCs w:val="20"/>
    </w:rPr>
  </w:style>
  <w:style w:type="paragraph" w:styleId="Nadpis6">
    <w:name w:val="heading 6"/>
    <w:basedOn w:val="Normln"/>
    <w:next w:val="Normln"/>
    <w:link w:val="Nadpis6Char"/>
    <w:qFormat/>
    <w:rsid w:val="009320DB"/>
    <w:pPr>
      <w:keepNext/>
      <w:jc w:val="center"/>
      <w:outlineLvl w:val="5"/>
    </w:pPr>
    <w:rPr>
      <w:b/>
      <w:bCs/>
      <w:szCs w:val="20"/>
    </w:rPr>
  </w:style>
  <w:style w:type="paragraph" w:styleId="Nadpis7">
    <w:name w:val="heading 7"/>
    <w:basedOn w:val="Normln"/>
    <w:next w:val="Normln"/>
    <w:link w:val="Nadpis7Char"/>
    <w:qFormat/>
    <w:rsid w:val="009320DB"/>
    <w:pPr>
      <w:keepNext/>
      <w:outlineLvl w:val="6"/>
    </w:pPr>
    <w:rPr>
      <w:b/>
      <w:bCs/>
      <w:color w:val="FF0000"/>
      <w:szCs w:val="20"/>
    </w:rPr>
  </w:style>
  <w:style w:type="paragraph" w:styleId="Nadpis8">
    <w:name w:val="heading 8"/>
    <w:basedOn w:val="Normln"/>
    <w:next w:val="Normln"/>
    <w:link w:val="Nadpis8Char"/>
    <w:qFormat/>
    <w:rsid w:val="009320DB"/>
    <w:pPr>
      <w:keepNext/>
      <w:outlineLvl w:val="7"/>
    </w:pPr>
    <w:rPr>
      <w:b/>
      <w:caps/>
      <w:sz w:val="3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4">
    <w:name w:val="A4"/>
    <w:uiPriority w:val="99"/>
    <w:rsid w:val="00CE4BC4"/>
    <w:rPr>
      <w:b/>
      <w:bCs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40790"/>
    <w:pPr>
      <w:ind w:left="720"/>
      <w:contextualSpacing/>
    </w:pPr>
  </w:style>
  <w:style w:type="paragraph" w:styleId="Normlnweb">
    <w:name w:val="Normal (Web)"/>
    <w:basedOn w:val="Normln"/>
    <w:unhideWhenUsed/>
    <w:rsid w:val="00FC4B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FC4BC7"/>
  </w:style>
  <w:style w:type="character" w:styleId="Hypertextovodkaz">
    <w:name w:val="Hyperlink"/>
    <w:basedOn w:val="Standardnpsmoodstavce"/>
    <w:uiPriority w:val="99"/>
    <w:unhideWhenUsed/>
    <w:rsid w:val="003F4E80"/>
    <w:rPr>
      <w:color w:val="0563C1" w:themeColor="hyperlink"/>
      <w:u w:val="single"/>
    </w:rPr>
  </w:style>
  <w:style w:type="paragraph" w:customStyle="1" w:styleId="Pa6">
    <w:name w:val="Pa6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5">
    <w:name w:val="A5"/>
    <w:uiPriority w:val="99"/>
    <w:rsid w:val="00033BD0"/>
    <w:rPr>
      <w:rFonts w:cs="Futura"/>
      <w:color w:val="000000"/>
      <w:sz w:val="34"/>
      <w:szCs w:val="34"/>
    </w:rPr>
  </w:style>
  <w:style w:type="paragraph" w:customStyle="1" w:styleId="Pa0">
    <w:name w:val="Pa0"/>
    <w:basedOn w:val="Normln"/>
    <w:next w:val="Normln"/>
    <w:uiPriority w:val="99"/>
    <w:rsid w:val="00033BD0"/>
    <w:pPr>
      <w:autoSpaceDE w:val="0"/>
      <w:autoSpaceDN w:val="0"/>
      <w:adjustRightInd w:val="0"/>
      <w:spacing w:line="241" w:lineRule="atLeast"/>
    </w:pPr>
    <w:rPr>
      <w:rFonts w:ascii="Helvetica" w:eastAsiaTheme="minorHAnsi" w:hAnsi="Helvetica" w:cstheme="minorBidi"/>
      <w:lang w:eastAsia="en-US"/>
    </w:rPr>
  </w:style>
  <w:style w:type="paragraph" w:customStyle="1" w:styleId="Pa3">
    <w:name w:val="Pa3"/>
    <w:basedOn w:val="Normln"/>
    <w:next w:val="Normln"/>
    <w:uiPriority w:val="99"/>
    <w:rsid w:val="007356C7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4214B3"/>
    <w:rPr>
      <w:b/>
      <w:bCs/>
    </w:rPr>
  </w:style>
  <w:style w:type="paragraph" w:styleId="Zhlav">
    <w:name w:val="header"/>
    <w:basedOn w:val="Normln"/>
    <w:link w:val="ZhlavChar"/>
    <w:unhideWhenUsed/>
    <w:rsid w:val="00EB6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B61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61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8">
    <w:name w:val="Pa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6">
    <w:name w:val="A6"/>
    <w:uiPriority w:val="99"/>
    <w:rsid w:val="00C858EE"/>
    <w:rPr>
      <w:rFonts w:cs="Futura"/>
      <w:color w:val="000000"/>
      <w:sz w:val="20"/>
      <w:szCs w:val="20"/>
    </w:rPr>
  </w:style>
  <w:style w:type="paragraph" w:customStyle="1" w:styleId="Pa18">
    <w:name w:val="Pa18"/>
    <w:basedOn w:val="Normln"/>
    <w:next w:val="Normln"/>
    <w:uiPriority w:val="99"/>
    <w:rsid w:val="00C858EE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character" w:customStyle="1" w:styleId="A7">
    <w:name w:val="A7"/>
    <w:uiPriority w:val="99"/>
    <w:rsid w:val="00E2519A"/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Pa11">
    <w:name w:val="Pa11"/>
    <w:basedOn w:val="Normln"/>
    <w:next w:val="Normln"/>
    <w:uiPriority w:val="99"/>
    <w:rsid w:val="00E2519A"/>
    <w:pPr>
      <w:autoSpaceDE w:val="0"/>
      <w:autoSpaceDN w:val="0"/>
      <w:adjustRightInd w:val="0"/>
      <w:spacing w:line="241" w:lineRule="atLeast"/>
    </w:pPr>
    <w:rPr>
      <w:rFonts w:ascii="Futura" w:eastAsiaTheme="minorHAnsi" w:hAnsi="Futura" w:cstheme="minorBidi"/>
      <w:lang w:eastAsia="en-US"/>
    </w:rPr>
  </w:style>
  <w:style w:type="paragraph" w:styleId="Zkladntextodsazen">
    <w:name w:val="Body Text Indent"/>
    <w:basedOn w:val="Normln"/>
    <w:link w:val="ZkladntextodsazenChar"/>
    <w:rsid w:val="00574F15"/>
    <w:pPr>
      <w:keepNext/>
      <w:keepLines/>
      <w:suppressLineNumbers/>
      <w:suppressAutoHyphens/>
      <w:ind w:left="360" w:hanging="54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74F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74F15"/>
    <w:pPr>
      <w:keepNext/>
      <w:keepLines/>
      <w:suppressLineNumbers/>
      <w:suppressAutoHyphens/>
      <w:ind w:left="1440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74F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C95D42"/>
    <w:rPr>
      <w:i/>
      <w:iCs/>
    </w:rPr>
  </w:style>
  <w:style w:type="paragraph" w:styleId="Zkladntext">
    <w:name w:val="Body Text"/>
    <w:basedOn w:val="Normln"/>
    <w:link w:val="ZkladntextChar"/>
    <w:unhideWhenUsed/>
    <w:rsid w:val="006D76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76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932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320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9320D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20D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9320D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320D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320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320D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320D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320DB"/>
    <w:rPr>
      <w:rFonts w:ascii="Times New Roman" w:eastAsia="Times New Roman" w:hAnsi="Times New Roman" w:cs="Times New Roman"/>
      <w:b/>
      <w:bCs/>
      <w:caps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320DB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320D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9320DB"/>
    <w:rPr>
      <w:rFonts w:ascii="Times New Roman" w:eastAsia="Times New Roman" w:hAnsi="Times New Roman" w:cs="Times New Roman"/>
      <w:b/>
      <w:bCs/>
      <w:color w:val="FF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320DB"/>
    <w:rPr>
      <w:rFonts w:ascii="Times New Roman" w:eastAsia="Times New Roman" w:hAnsi="Times New Roman" w:cs="Times New Roman"/>
      <w:b/>
      <w:caps/>
      <w:sz w:val="32"/>
      <w:szCs w:val="52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9320DB"/>
  </w:style>
  <w:style w:type="paragraph" w:styleId="Nzev">
    <w:name w:val="Title"/>
    <w:basedOn w:val="Normln"/>
    <w:link w:val="NzevChar"/>
    <w:qFormat/>
    <w:rsid w:val="009320DB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320D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lostrnky">
    <w:name w:val="page number"/>
    <w:basedOn w:val="Standardnpsmoodstavce"/>
    <w:rsid w:val="009320DB"/>
  </w:style>
  <w:style w:type="paragraph" w:styleId="Textbubliny">
    <w:name w:val="Balloon Text"/>
    <w:basedOn w:val="Normln"/>
    <w:link w:val="TextbublinyChar"/>
    <w:uiPriority w:val="99"/>
    <w:semiHidden/>
    <w:unhideWhenUsed/>
    <w:rsid w:val="00A80E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EF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7DFF-77F1-4C8E-9B2F-8189F855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620</Words>
  <Characters>3962</Characters>
  <Application>Microsoft Office Word</Application>
  <DocSecurity>0</DocSecurity>
  <Lines>107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Najzarová</dc:creator>
  <cp:lastModifiedBy>Karolína Najzarová</cp:lastModifiedBy>
  <cp:revision>27</cp:revision>
  <cp:lastPrinted>2015-03-03T14:21:00Z</cp:lastPrinted>
  <dcterms:created xsi:type="dcterms:W3CDTF">2015-02-17T13:00:00Z</dcterms:created>
  <dcterms:modified xsi:type="dcterms:W3CDTF">2018-03-05T10:57:00Z</dcterms:modified>
</cp:coreProperties>
</file>