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90" w:rsidRPr="004E3C13" w:rsidRDefault="00FB3890" w:rsidP="00505D59">
      <w:pPr>
        <w:spacing w:before="120" w:after="120"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538135" w:themeFill="accent6" w:themeFillShade="BF"/>
          </w:tcPr>
          <w:p w:rsidR="00197C1E" w:rsidRDefault="00FB3890" w:rsidP="00505D59">
            <w:pPr>
              <w:tabs>
                <w:tab w:val="center" w:pos="4446"/>
                <w:tab w:val="left" w:pos="7785"/>
              </w:tabs>
              <w:spacing w:before="120" w:after="120"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Standard </w:t>
            </w:r>
            <w:r w:rsidR="00197C1E">
              <w:rPr>
                <w:b/>
                <w:sz w:val="32"/>
              </w:rPr>
              <w:t xml:space="preserve">8. </w:t>
            </w:r>
            <w:r w:rsidR="00197C1E" w:rsidRPr="00197C1E">
              <w:rPr>
                <w:b/>
                <w:sz w:val="32"/>
              </w:rPr>
              <w:t xml:space="preserve">Přijetí oznámení, posouzení naléhavosti </w:t>
            </w:r>
          </w:p>
          <w:p w:rsidR="00FB3890" w:rsidRPr="00831F71" w:rsidRDefault="00197C1E" w:rsidP="00505D59">
            <w:pPr>
              <w:tabs>
                <w:tab w:val="center" w:pos="4446"/>
                <w:tab w:val="left" w:pos="7785"/>
              </w:tabs>
              <w:spacing w:before="120" w:after="120" w:line="276" w:lineRule="auto"/>
              <w:jc w:val="center"/>
              <w:rPr>
                <w:b/>
                <w:sz w:val="32"/>
              </w:rPr>
            </w:pPr>
            <w:r w:rsidRPr="00197C1E">
              <w:rPr>
                <w:b/>
                <w:sz w:val="32"/>
              </w:rPr>
              <w:t>a přidělení případu</w:t>
            </w:r>
          </w:p>
        </w:tc>
      </w:tr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A8D08D" w:themeFill="accent6" w:themeFillTint="99"/>
          </w:tcPr>
          <w:p w:rsidR="00FB3890" w:rsidRPr="00CD7805" w:rsidRDefault="00FB3890" w:rsidP="00505D59">
            <w:pPr>
              <w:tabs>
                <w:tab w:val="left" w:pos="1785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Kritérium standardu</w:t>
            </w:r>
          </w:p>
        </w:tc>
      </w:tr>
      <w:tr w:rsidR="00FB3890" w:rsidRPr="004E3C13" w:rsidTr="0007039B">
        <w:trPr>
          <w:trHeight w:val="302"/>
        </w:trPr>
        <w:tc>
          <w:tcPr>
            <w:tcW w:w="9108" w:type="dxa"/>
            <w:shd w:val="clear" w:color="auto" w:fill="FFFFFF"/>
          </w:tcPr>
          <w:p w:rsidR="000C7388" w:rsidRPr="00033BD0" w:rsidRDefault="00197C1E" w:rsidP="006019FF">
            <w:p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8a: </w:t>
            </w:r>
            <w:r w:rsidRPr="00197C1E">
              <w:rPr>
                <w:rFonts w:eastAsiaTheme="minorHAnsi"/>
                <w:bCs/>
                <w:color w:val="000000"/>
                <w:lang w:eastAsia="en-US"/>
              </w:rPr>
              <w:t>Orgán sociálně-právní ochrany jednotně postupuje při přijetí oznámení případu a jeho evidenci.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6019FF">
            <w:pPr>
              <w:tabs>
                <w:tab w:val="left" w:pos="210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Závazné pro: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831F71" w:rsidRDefault="00FB3890" w:rsidP="006019FF">
            <w:pPr>
              <w:spacing w:before="120" w:after="120" w:line="276" w:lineRule="auto"/>
              <w:ind w:right="103"/>
            </w:pPr>
            <w:r>
              <w:t>p</w:t>
            </w:r>
            <w:r w:rsidRPr="00831F71">
              <w:t>racovníky Městského úřadu Příbor, kteří poskytují sociálně-právní ochranu dětí</w:t>
            </w:r>
            <w:r>
              <w:t>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6019FF">
            <w:pPr>
              <w:tabs>
                <w:tab w:val="left" w:pos="255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Vypracoval: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FB3890" w:rsidP="006019FF">
            <w:pPr>
              <w:spacing w:before="120" w:after="120" w:line="276" w:lineRule="auto"/>
              <w:ind w:right="103"/>
            </w:pPr>
            <w:r w:rsidRPr="00715E73">
              <w:t>Bc. Lenka Filipcová, Bc. Karolína Najzarová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6019FF">
            <w:pPr>
              <w:spacing w:before="120" w:after="120" w:line="276" w:lineRule="auto"/>
              <w:ind w:right="103"/>
              <w:jc w:val="both"/>
              <w:rPr>
                <w:b/>
              </w:rPr>
            </w:pPr>
            <w:r>
              <w:rPr>
                <w:b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Schválil:</w:t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Datum a podpis: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FB3890" w:rsidP="006019FF">
            <w:pPr>
              <w:spacing w:before="360" w:after="360" w:line="276" w:lineRule="auto"/>
              <w:ind w:right="103"/>
              <w:jc w:val="both"/>
            </w:pPr>
            <w:r w:rsidRPr="00715E73">
              <w:t>Ing. Arnošt Vaněk, tajemník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6019FF">
            <w:pPr>
              <w:tabs>
                <w:tab w:val="left" w:pos="465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Platnost kritéria od: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FFFFFF"/>
          </w:tcPr>
          <w:p w:rsidR="00FB3890" w:rsidRPr="00715E73" w:rsidRDefault="006019FF" w:rsidP="006019FF">
            <w:pPr>
              <w:spacing w:before="120" w:after="120" w:line="276" w:lineRule="auto"/>
              <w:ind w:right="103"/>
            </w:pPr>
            <w:r>
              <w:t xml:space="preserve">1. </w:t>
            </w:r>
            <w:r w:rsidR="00FB3890">
              <w:t>1</w:t>
            </w:r>
            <w:r w:rsidR="00FB3890" w:rsidRPr="00715E73">
              <w:t>. 2015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A31D75" w:rsidRDefault="00FB3890" w:rsidP="006019FF">
            <w:pPr>
              <w:tabs>
                <w:tab w:val="left" w:pos="300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 w:rsidRPr="00A31D75">
              <w:tab/>
            </w:r>
            <w:r w:rsidRPr="00A31D75">
              <w:tab/>
            </w:r>
            <w:r w:rsidRPr="00A31D75">
              <w:rPr>
                <w:b/>
              </w:rPr>
              <w:t>Cíle kritéria: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uto"/>
          </w:tcPr>
          <w:p w:rsidR="00E952C3" w:rsidRPr="00E952C3" w:rsidRDefault="00FD3730" w:rsidP="00E952C3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szCs w:val="22"/>
                <w:lang w:eastAsia="en-US"/>
              </w:rPr>
            </w:pPr>
            <w:r w:rsidRPr="00E952C3">
              <w:rPr>
                <w:rFonts w:eastAsiaTheme="minorHAnsi"/>
                <w:color w:val="000000"/>
                <w:szCs w:val="22"/>
                <w:lang w:eastAsia="en-US"/>
              </w:rPr>
              <w:t>J</w:t>
            </w:r>
            <w:r w:rsidR="00197C1E" w:rsidRPr="00E952C3">
              <w:rPr>
                <w:rFonts w:eastAsiaTheme="minorHAnsi"/>
                <w:color w:val="000000"/>
                <w:szCs w:val="22"/>
                <w:lang w:eastAsia="en-US"/>
              </w:rPr>
              <w:t>ednotný postup při evidenci a přidělení případu, včetně uplatňování stanovených lhůt</w:t>
            </w:r>
            <w:r w:rsidRPr="00E952C3">
              <w:rPr>
                <w:rFonts w:eastAsiaTheme="minorHAnsi"/>
                <w:color w:val="000000"/>
                <w:szCs w:val="22"/>
                <w:lang w:eastAsia="en-US"/>
              </w:rPr>
              <w:t>.</w:t>
            </w:r>
          </w:p>
          <w:p w:rsidR="00E952C3" w:rsidRPr="00E952C3" w:rsidRDefault="00FD3730" w:rsidP="00E952C3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  <w:r w:rsidRPr="00E952C3">
              <w:rPr>
                <w:rFonts w:eastAsiaTheme="minorHAnsi"/>
                <w:szCs w:val="22"/>
                <w:lang w:eastAsia="en-US"/>
              </w:rPr>
              <w:t>D</w:t>
            </w:r>
            <w:r w:rsidR="00197C1E" w:rsidRPr="00E952C3">
              <w:rPr>
                <w:rFonts w:eastAsiaTheme="minorHAnsi"/>
                <w:szCs w:val="22"/>
                <w:lang w:eastAsia="en-US"/>
              </w:rPr>
              <w:t>ostupn</w:t>
            </w:r>
            <w:r w:rsidR="000A41BC" w:rsidRPr="00E952C3">
              <w:rPr>
                <w:rFonts w:eastAsiaTheme="minorHAnsi"/>
                <w:szCs w:val="22"/>
                <w:lang w:eastAsia="en-US"/>
              </w:rPr>
              <w:t>ost informací</w:t>
            </w:r>
            <w:r w:rsidR="00E952C3" w:rsidRPr="00E952C3">
              <w:rPr>
                <w:rFonts w:eastAsiaTheme="minorHAnsi"/>
                <w:szCs w:val="22"/>
                <w:lang w:eastAsia="en-US"/>
              </w:rPr>
              <w:t xml:space="preserve">: </w:t>
            </w:r>
          </w:p>
          <w:p w:rsidR="00E952C3" w:rsidRPr="00E952C3" w:rsidRDefault="000A41BC" w:rsidP="00E952C3">
            <w:pPr>
              <w:pStyle w:val="Odstavecseseznamem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  <w:r w:rsidRPr="00E952C3">
              <w:rPr>
                <w:rFonts w:eastAsiaTheme="minorHAnsi"/>
                <w:szCs w:val="22"/>
                <w:lang w:eastAsia="en-US"/>
              </w:rPr>
              <w:t>pro zaměstnance orgánu sociálně-právní ochrany</w:t>
            </w:r>
            <w:r w:rsidR="00197C1E" w:rsidRPr="00E952C3">
              <w:rPr>
                <w:rFonts w:eastAsiaTheme="minorHAnsi"/>
                <w:szCs w:val="22"/>
                <w:lang w:eastAsia="en-US"/>
              </w:rPr>
              <w:t xml:space="preserve"> </w:t>
            </w:r>
          </w:p>
          <w:p w:rsidR="000A41BC" w:rsidRPr="00E952C3" w:rsidRDefault="00E952C3" w:rsidP="00E952C3">
            <w:pPr>
              <w:pStyle w:val="Odstavecseseznamem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o </w:t>
            </w:r>
            <w:r w:rsidR="00197C1E" w:rsidRPr="00E952C3">
              <w:rPr>
                <w:rFonts w:eastAsiaTheme="minorHAnsi"/>
                <w:szCs w:val="22"/>
                <w:lang w:eastAsia="en-US"/>
              </w:rPr>
              <w:t xml:space="preserve">evidenci případu pro </w:t>
            </w:r>
            <w:r w:rsidR="000A41BC" w:rsidRPr="00E952C3">
              <w:rPr>
                <w:rFonts w:eastAsiaTheme="minorHAnsi"/>
                <w:szCs w:val="22"/>
                <w:lang w:eastAsia="en-US"/>
              </w:rPr>
              <w:t>osoby, které učinily oznámení</w:t>
            </w:r>
          </w:p>
          <w:p w:rsidR="000A41BC" w:rsidRPr="00E952C3" w:rsidRDefault="00E952C3" w:rsidP="00E952C3">
            <w:pPr>
              <w:pStyle w:val="Odstavecseseznamem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ascii="Helvetica" w:eastAsiaTheme="minorHAnsi" w:hAnsi="Helvetica" w:cs="Helvetica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o </w:t>
            </w:r>
            <w:r w:rsidR="00197C1E" w:rsidRPr="00E952C3">
              <w:rPr>
                <w:rFonts w:eastAsiaTheme="minorHAnsi"/>
                <w:szCs w:val="22"/>
                <w:lang w:eastAsia="en-US"/>
              </w:rPr>
              <w:t xml:space="preserve">lhůtách </w:t>
            </w:r>
            <w:r w:rsidR="000A41BC" w:rsidRPr="00E952C3">
              <w:rPr>
                <w:rFonts w:eastAsiaTheme="minorHAnsi"/>
                <w:szCs w:val="22"/>
                <w:lang w:eastAsia="en-US"/>
              </w:rPr>
              <w:t>a dalším postupu pro klienty</w:t>
            </w:r>
          </w:p>
          <w:p w:rsidR="000C7388" w:rsidRPr="00E952C3" w:rsidRDefault="00197C1E" w:rsidP="00E952C3">
            <w:pPr>
              <w:pStyle w:val="Odstavecseseznamem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ascii="Helvetica" w:eastAsiaTheme="minorHAnsi" w:hAnsi="Helvetica" w:cs="Helvetica"/>
                <w:color w:val="000000"/>
                <w:sz w:val="22"/>
                <w:szCs w:val="22"/>
                <w:lang w:eastAsia="en-US"/>
              </w:rPr>
            </w:pPr>
            <w:r w:rsidRPr="00E952C3">
              <w:rPr>
                <w:rFonts w:eastAsiaTheme="minorHAnsi"/>
                <w:szCs w:val="22"/>
                <w:lang w:eastAsia="en-US"/>
              </w:rPr>
              <w:t>o důvodech pro evidenci případu</w:t>
            </w:r>
            <w:r w:rsidR="00FD3730" w:rsidRPr="00E952C3">
              <w:rPr>
                <w:rFonts w:eastAsiaTheme="minorHAnsi"/>
                <w:szCs w:val="22"/>
                <w:lang w:eastAsia="en-US"/>
              </w:rPr>
              <w:t>.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8D08D" w:themeFill="accent6" w:themeFillTint="99"/>
          </w:tcPr>
          <w:p w:rsidR="00FB3890" w:rsidRPr="00BA0AC4" w:rsidRDefault="00FB3890" w:rsidP="006019FF">
            <w:pPr>
              <w:spacing w:before="120" w:after="120" w:line="276" w:lineRule="auto"/>
              <w:ind w:right="103"/>
              <w:jc w:val="center"/>
              <w:rPr>
                <w:b/>
              </w:rPr>
            </w:pPr>
            <w:r w:rsidRPr="00BA0AC4">
              <w:rPr>
                <w:b/>
              </w:rPr>
              <w:t>Obsah kritéria standardu:</w:t>
            </w:r>
          </w:p>
        </w:tc>
      </w:tr>
      <w:tr w:rsidR="00FB3890" w:rsidRPr="004E3C13" w:rsidTr="0007039B">
        <w:tc>
          <w:tcPr>
            <w:tcW w:w="9108" w:type="dxa"/>
            <w:shd w:val="clear" w:color="auto" w:fill="auto"/>
          </w:tcPr>
          <w:p w:rsidR="007356C7" w:rsidRDefault="007356C7" w:rsidP="006019FF">
            <w:pPr>
              <w:spacing w:before="120" w:after="120" w:line="276" w:lineRule="auto"/>
              <w:ind w:right="103"/>
              <w:jc w:val="both"/>
            </w:pPr>
            <w:r>
              <w:t>Zaměstnan</w:t>
            </w:r>
            <w:r w:rsidRPr="00035531">
              <w:t>c</w:t>
            </w:r>
            <w:r>
              <w:t>i</w:t>
            </w:r>
            <w:r w:rsidRPr="00035531">
              <w:t xml:space="preserve"> odboru sociálních věcí</w:t>
            </w:r>
            <w:r>
              <w:t xml:space="preserve"> Městského úřadu Příbor zařazení</w:t>
            </w:r>
            <w:r w:rsidRPr="00035531">
              <w:t xml:space="preserve"> v orgánu sociálně právní ochrany</w:t>
            </w:r>
            <w:r>
              <w:t xml:space="preserve"> se po přijetí oznámení řídí následujícím postupem: </w:t>
            </w:r>
          </w:p>
          <w:p w:rsidR="007356C7" w:rsidRDefault="007356C7" w:rsidP="006019FF">
            <w:pPr>
              <w:pStyle w:val="Odstavecseseznamem"/>
              <w:numPr>
                <w:ilvl w:val="0"/>
                <w:numId w:val="12"/>
              </w:numPr>
              <w:spacing w:before="120" w:after="120" w:line="276" w:lineRule="auto"/>
              <w:ind w:right="103"/>
              <w:jc w:val="both"/>
            </w:pPr>
            <w:r>
              <w:t>Zaměstnanec příjme oznámení případu písemně, telefonicky nebo osobně</w:t>
            </w:r>
            <w:r w:rsidR="004F4B87">
              <w:t xml:space="preserve"> v době úředních hodin</w:t>
            </w:r>
            <w:r>
              <w:t xml:space="preserve">. O telefonickém či osobním oznámení učiní neprodleně písemný záznam. Při přijetí oznámení je důležité </w:t>
            </w:r>
            <w:r w:rsidR="00BF20F4">
              <w:t xml:space="preserve">pokusit se </w:t>
            </w:r>
            <w:r>
              <w:t xml:space="preserve">získat potřebné </w:t>
            </w:r>
            <w:r w:rsidR="00BF20F4">
              <w:t xml:space="preserve">identifikační </w:t>
            </w:r>
            <w:r w:rsidR="00BF20F4">
              <w:lastRenderedPageBreak/>
              <w:t>údaje o potenciálně ohroženém dítěti.</w:t>
            </w:r>
          </w:p>
          <w:p w:rsidR="00146339" w:rsidRDefault="00146339" w:rsidP="006019FF">
            <w:pPr>
              <w:pStyle w:val="Odstavecseseznamem"/>
              <w:spacing w:before="120" w:after="120" w:line="276" w:lineRule="auto"/>
              <w:ind w:right="103"/>
              <w:jc w:val="both"/>
            </w:pPr>
            <w:r>
              <w:t>Prověřována jsou také oznámení, která jsou podána anonymně.</w:t>
            </w:r>
          </w:p>
          <w:p w:rsidR="00BF20F4" w:rsidRDefault="00BF20F4" w:rsidP="006019FF">
            <w:pPr>
              <w:pStyle w:val="Odstavecseseznamem"/>
              <w:numPr>
                <w:ilvl w:val="0"/>
                <w:numId w:val="12"/>
              </w:numPr>
              <w:spacing w:before="120" w:after="120" w:line="276" w:lineRule="auto"/>
              <w:ind w:right="103"/>
              <w:jc w:val="both"/>
            </w:pPr>
            <w:r>
              <w:t>V dalším kroku zaměstnanec posoudí naléhavost případu a vyhodnotí rizika.</w:t>
            </w:r>
            <w:r w:rsidR="00264BFF">
              <w:t xml:space="preserve"> </w:t>
            </w:r>
            <w:r w:rsidR="00146339">
              <w:t>Zkontroluje</w:t>
            </w:r>
            <w:r w:rsidR="00264BFF">
              <w:t xml:space="preserve">, zda </w:t>
            </w:r>
            <w:r w:rsidR="00146339">
              <w:t>dítě již není vedeno v evidenci, a pokud je, předá případ zaměstnanci, který s ním již pracoval.</w:t>
            </w:r>
          </w:p>
          <w:p w:rsidR="00146339" w:rsidRDefault="00146339" w:rsidP="006019FF">
            <w:pPr>
              <w:pStyle w:val="Odstavecseseznamem"/>
              <w:numPr>
                <w:ilvl w:val="0"/>
                <w:numId w:val="12"/>
              </w:numPr>
              <w:spacing w:before="120" w:after="120" w:line="276" w:lineRule="auto"/>
              <w:ind w:right="103"/>
              <w:jc w:val="both"/>
            </w:pPr>
            <w:r>
              <w:t>Zaměstnanec postupuje podle vyhodnoceného rizika případu</w:t>
            </w:r>
            <w:r w:rsidR="00FC0DF2">
              <w:t>.</w:t>
            </w:r>
          </w:p>
          <w:p w:rsidR="00FC0DF2" w:rsidRDefault="00FC0DF2" w:rsidP="006019FF">
            <w:pPr>
              <w:pStyle w:val="Odstavecseseznamem"/>
              <w:numPr>
                <w:ilvl w:val="0"/>
                <w:numId w:val="12"/>
              </w:numPr>
              <w:spacing w:before="120" w:after="120" w:line="276" w:lineRule="auto"/>
              <w:ind w:right="103"/>
              <w:jc w:val="both"/>
            </w:pPr>
            <w:r>
              <w:t xml:space="preserve">V případě potřeby je zaměstnancem učiněno </w:t>
            </w:r>
            <w:r w:rsidR="00ED714B">
              <w:t xml:space="preserve">sociální </w:t>
            </w:r>
            <w:r>
              <w:t>šetření v terénu. Probíhá spolupráce se školou, kterou dítě navštěvuje, s Městskou policií, případně s dětským lékařem v rámci zjišťování dalších informací.</w:t>
            </w:r>
          </w:p>
          <w:p w:rsidR="00523CD1" w:rsidRPr="00DF6ECD" w:rsidRDefault="00FC0DF2" w:rsidP="00523CD1">
            <w:pPr>
              <w:pStyle w:val="Odstavecseseznamem"/>
              <w:numPr>
                <w:ilvl w:val="0"/>
                <w:numId w:val="12"/>
              </w:numPr>
              <w:spacing w:before="120" w:after="120" w:line="276" w:lineRule="auto"/>
              <w:ind w:right="103"/>
              <w:jc w:val="both"/>
            </w:pPr>
            <w:r w:rsidRPr="00DF6ECD">
              <w:t>Zaměstnanec přijímající oznámení informuje osobu, která oznám</w:t>
            </w:r>
            <w:r w:rsidR="00B263D3">
              <w:t>ení učinila, o </w:t>
            </w:r>
            <w:r w:rsidR="00DF6ECD">
              <w:t xml:space="preserve">dalším postupu o </w:t>
            </w:r>
            <w:r w:rsidR="00B263D3">
              <w:t>vyřizování</w:t>
            </w:r>
            <w:r w:rsidRPr="00DF6ECD">
              <w:t xml:space="preserve"> oznámení.</w:t>
            </w:r>
          </w:p>
          <w:p w:rsidR="009C4143" w:rsidRPr="00523CD1" w:rsidRDefault="009C4143" w:rsidP="00523CD1">
            <w:pPr>
              <w:pStyle w:val="Odstavecseseznamem"/>
              <w:numPr>
                <w:ilvl w:val="0"/>
                <w:numId w:val="12"/>
              </w:numPr>
              <w:spacing w:before="120" w:after="120" w:line="276" w:lineRule="auto"/>
              <w:ind w:right="103"/>
              <w:jc w:val="both"/>
              <w:rPr>
                <w:color w:val="FF0000"/>
              </w:rPr>
            </w:pPr>
            <w:r>
              <w:t>Zaměstnanec klienty informuje o důvodech pro evidenci jejich případu.</w:t>
            </w:r>
          </w:p>
          <w:p w:rsidR="00DA6EF1" w:rsidRDefault="00FA6E15" w:rsidP="006019FF">
            <w:pPr>
              <w:pStyle w:val="Odstavecseseznamem"/>
              <w:numPr>
                <w:ilvl w:val="0"/>
                <w:numId w:val="12"/>
              </w:numPr>
              <w:spacing w:before="120" w:after="120" w:line="276" w:lineRule="auto"/>
              <w:ind w:right="103"/>
              <w:jc w:val="both"/>
            </w:pPr>
            <w:r>
              <w:t xml:space="preserve">Zařazování dětí do evidence se řídí Směrnici Ministerstva práce a sociálních věcí č. j.: 2013/26780-21 o stanovení rozsahu evidence dětí a obsahu spisové </w:t>
            </w:r>
            <w:r w:rsidRPr="00FA6E15">
              <w:t>dokumentace o dětech vedené orgány sociálně-právní ochrany dětí a o stanovení rozsahu evidence a obsahu spisové dokumentace v oblasti náhradní rodinné péče</w:t>
            </w:r>
            <w:r>
              <w:t xml:space="preserve">. Dle </w:t>
            </w:r>
            <w:r w:rsidR="00ED714B">
              <w:t>směrnice</w:t>
            </w:r>
            <w:r>
              <w:t xml:space="preserve"> je obecní úřad povinen </w:t>
            </w:r>
            <w:r w:rsidR="009928CF">
              <w:t>vést jednoduchou evidenci a spisovou dokumentaci dětí, jimž ve své působnosti poskytl pomoc a ochranu.</w:t>
            </w:r>
          </w:p>
          <w:p w:rsidR="00DA6EF1" w:rsidRDefault="00DA6EF1" w:rsidP="006019FF">
            <w:pPr>
              <w:spacing w:before="120" w:after="120" w:line="276" w:lineRule="auto"/>
              <w:ind w:right="103"/>
              <w:jc w:val="both"/>
            </w:pPr>
          </w:p>
          <w:p w:rsidR="00DA6EF1" w:rsidRDefault="00DA6EF1" w:rsidP="006019FF">
            <w:pPr>
              <w:spacing w:before="120" w:after="120" w:line="276" w:lineRule="auto"/>
              <w:ind w:right="103"/>
              <w:jc w:val="both"/>
            </w:pPr>
            <w:r>
              <w:t>Pokud se jedná o dítě uvedené v § 6 zákona č. 359/1999 Sb., o sociálně právní ochraně dětí,</w:t>
            </w:r>
            <w:r w:rsidR="00ED714B">
              <w:t xml:space="preserve"> ve znění pozdějších předpisů,</w:t>
            </w:r>
            <w:r>
              <w:t xml:space="preserve"> jsou zaměstnanci odboru sociálních věcí povinni tuto skutečnost oznámit obecnímu úřa</w:t>
            </w:r>
            <w:r w:rsidR="00ED714B">
              <w:t>du obce s rozšířenou působností, kterým je Městský úřad Kopřivnice.</w:t>
            </w:r>
          </w:p>
          <w:p w:rsidR="009928CF" w:rsidRDefault="009928CF" w:rsidP="006019FF">
            <w:pPr>
              <w:spacing w:before="120" w:after="120" w:line="276" w:lineRule="auto"/>
              <w:ind w:right="103"/>
              <w:jc w:val="both"/>
            </w:pPr>
            <w:r>
              <w:t>Podat oznámení odboru sociálních věcí Městského úřadu Příbo</w:t>
            </w:r>
            <w:r w:rsidR="004214B3">
              <w:t>r</w:t>
            </w:r>
            <w:r>
              <w:t xml:space="preserve"> je možné pouze v pracovní </w:t>
            </w:r>
            <w:r w:rsidR="004214B3">
              <w:t>době jeho zaměstnanců, tedy v pondělí a ve středu od 7:00 do 17:00</w:t>
            </w:r>
            <w:r w:rsidR="00E952C3">
              <w:t xml:space="preserve"> hod.</w:t>
            </w:r>
            <w:r w:rsidR="004214B3">
              <w:t xml:space="preserve"> a v úterý, čtvrtek a pátek od 6:30 do 14:00</w:t>
            </w:r>
            <w:r w:rsidR="00E952C3">
              <w:t xml:space="preserve"> hod.</w:t>
            </w:r>
            <w:r w:rsidR="004214B3">
              <w:t>.</w:t>
            </w:r>
            <w:r>
              <w:t xml:space="preserve"> </w:t>
            </w:r>
            <w:r w:rsidR="004214B3">
              <w:t xml:space="preserve">Mimo tuto dobu se oznámení podávají na Policii České republiky – Obvodní oddělení Příbor (tel. </w:t>
            </w:r>
            <w:r w:rsidR="004214B3" w:rsidRPr="004214B3">
              <w:rPr>
                <w:rStyle w:val="Siln"/>
                <w:b w:val="0"/>
                <w:shd w:val="clear" w:color="auto" w:fill="FFFFFF"/>
              </w:rPr>
              <w:t>974 735</w:t>
            </w:r>
            <w:r w:rsidR="004214B3">
              <w:rPr>
                <w:rStyle w:val="Siln"/>
                <w:b w:val="0"/>
                <w:shd w:val="clear" w:color="auto" w:fill="FFFFFF"/>
              </w:rPr>
              <w:t xml:space="preserve"> 751) </w:t>
            </w:r>
            <w:r w:rsidR="004214B3">
              <w:t>nebo na Městskou Policii Příbor</w:t>
            </w:r>
            <w:r w:rsidR="00505D59">
              <w:t xml:space="preserve"> (tel. </w:t>
            </w:r>
            <w:r w:rsidR="00505D59" w:rsidRPr="00505D59">
              <w:t>556 725 111 nebo 721 146</w:t>
            </w:r>
            <w:r w:rsidR="00505D59">
              <w:t> </w:t>
            </w:r>
            <w:r w:rsidR="00505D59" w:rsidRPr="00505D59">
              <w:t>146</w:t>
            </w:r>
            <w:r w:rsidR="00505D59">
              <w:t>)</w:t>
            </w:r>
            <w:r w:rsidR="00E952C3">
              <w:t>.</w:t>
            </w:r>
          </w:p>
          <w:p w:rsidR="00B263D3" w:rsidRPr="003F4E80" w:rsidRDefault="00B263D3" w:rsidP="006019FF">
            <w:pPr>
              <w:tabs>
                <w:tab w:val="left" w:pos="6225"/>
              </w:tabs>
              <w:spacing w:before="120" w:after="120" w:line="276" w:lineRule="auto"/>
              <w:ind w:right="103"/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:rsidR="00BB48D3" w:rsidRDefault="00BB48D3" w:rsidP="00505D59">
      <w:pPr>
        <w:spacing w:before="120" w:after="120" w:line="276" w:lineRule="auto"/>
      </w:pPr>
    </w:p>
    <w:sectPr w:rsidR="00BB48D3" w:rsidSect="0007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45F1"/>
    <w:multiLevelType w:val="hybridMultilevel"/>
    <w:tmpl w:val="74AC59BA"/>
    <w:lvl w:ilvl="0" w:tplc="BA6685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25B3"/>
    <w:multiLevelType w:val="hybridMultilevel"/>
    <w:tmpl w:val="1EFE6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66CDE"/>
    <w:multiLevelType w:val="hybridMultilevel"/>
    <w:tmpl w:val="8742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4207"/>
    <w:multiLevelType w:val="hybridMultilevel"/>
    <w:tmpl w:val="4094D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105FF"/>
    <w:multiLevelType w:val="hybridMultilevel"/>
    <w:tmpl w:val="83CCC278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842475E"/>
    <w:multiLevelType w:val="multilevel"/>
    <w:tmpl w:val="08EE16AC"/>
    <w:numStyleLink w:val="Styl1"/>
  </w:abstractNum>
  <w:abstractNum w:abstractNumId="6">
    <w:nsid w:val="1FF4165C"/>
    <w:multiLevelType w:val="multilevel"/>
    <w:tmpl w:val="08EE16AC"/>
    <w:styleLink w:val="Styl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B044D7"/>
    <w:multiLevelType w:val="multilevel"/>
    <w:tmpl w:val="08EE16AC"/>
    <w:numStyleLink w:val="Styl1"/>
  </w:abstractNum>
  <w:abstractNum w:abstractNumId="8">
    <w:nsid w:val="27022A36"/>
    <w:multiLevelType w:val="hybridMultilevel"/>
    <w:tmpl w:val="0BCE54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43CD3"/>
    <w:multiLevelType w:val="hybridMultilevel"/>
    <w:tmpl w:val="7B502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56144"/>
    <w:multiLevelType w:val="hybridMultilevel"/>
    <w:tmpl w:val="4C20E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221A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2">
    <w:nsid w:val="5E483B5C"/>
    <w:multiLevelType w:val="hybridMultilevel"/>
    <w:tmpl w:val="97ECB076"/>
    <w:lvl w:ilvl="0" w:tplc="948A0C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205CC"/>
    <w:multiLevelType w:val="hybridMultilevel"/>
    <w:tmpl w:val="063ED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E3045"/>
    <w:multiLevelType w:val="hybridMultilevel"/>
    <w:tmpl w:val="E770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C459F"/>
    <w:multiLevelType w:val="multilevel"/>
    <w:tmpl w:val="BE6A898C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14CEC"/>
    <w:multiLevelType w:val="hybridMultilevel"/>
    <w:tmpl w:val="9FB8E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51283"/>
    <w:multiLevelType w:val="hybridMultilevel"/>
    <w:tmpl w:val="B5EE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F7D62"/>
    <w:multiLevelType w:val="hybridMultilevel"/>
    <w:tmpl w:val="6058A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4"/>
  </w:num>
  <w:num w:numId="6">
    <w:abstractNumId w:val="8"/>
  </w:num>
  <w:num w:numId="7">
    <w:abstractNumId w:val="4"/>
  </w:num>
  <w:num w:numId="8">
    <w:abstractNumId w:val="16"/>
  </w:num>
  <w:num w:numId="9">
    <w:abstractNumId w:val="1"/>
  </w:num>
  <w:num w:numId="10">
    <w:abstractNumId w:val="17"/>
  </w:num>
  <w:num w:numId="11">
    <w:abstractNumId w:val="18"/>
  </w:num>
  <w:num w:numId="12">
    <w:abstractNumId w:val="0"/>
  </w:num>
  <w:num w:numId="13">
    <w:abstractNumId w:val="9"/>
  </w:num>
  <w:num w:numId="14">
    <w:abstractNumId w:val="3"/>
  </w:num>
  <w:num w:numId="15">
    <w:abstractNumId w:val="11"/>
  </w:num>
  <w:num w:numId="16">
    <w:abstractNumId w:val="7"/>
  </w:num>
  <w:num w:numId="17">
    <w:abstractNumId w:val="6"/>
  </w:num>
  <w:num w:numId="18">
    <w:abstractNumId w:val="5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90"/>
    <w:rsid w:val="00033BD0"/>
    <w:rsid w:val="0007039B"/>
    <w:rsid w:val="000A41BC"/>
    <w:rsid w:val="000B6E08"/>
    <w:rsid w:val="000C7388"/>
    <w:rsid w:val="000E193A"/>
    <w:rsid w:val="00146339"/>
    <w:rsid w:val="00181DB0"/>
    <w:rsid w:val="00196A57"/>
    <w:rsid w:val="00197C1E"/>
    <w:rsid w:val="001A714E"/>
    <w:rsid w:val="00242C34"/>
    <w:rsid w:val="00264BFF"/>
    <w:rsid w:val="00296C01"/>
    <w:rsid w:val="002B53BD"/>
    <w:rsid w:val="002D38CC"/>
    <w:rsid w:val="002E4DC2"/>
    <w:rsid w:val="003A470D"/>
    <w:rsid w:val="003F4E80"/>
    <w:rsid w:val="004214B3"/>
    <w:rsid w:val="0049141B"/>
    <w:rsid w:val="004C74AA"/>
    <w:rsid w:val="004E157C"/>
    <w:rsid w:val="004F4B87"/>
    <w:rsid w:val="00505D59"/>
    <w:rsid w:val="00523CD1"/>
    <w:rsid w:val="00580762"/>
    <w:rsid w:val="005C649C"/>
    <w:rsid w:val="006019FF"/>
    <w:rsid w:val="00603CB9"/>
    <w:rsid w:val="00616222"/>
    <w:rsid w:val="00647CEA"/>
    <w:rsid w:val="00715F6A"/>
    <w:rsid w:val="007356C7"/>
    <w:rsid w:val="007D46F5"/>
    <w:rsid w:val="00882A23"/>
    <w:rsid w:val="009928CF"/>
    <w:rsid w:val="009B3F27"/>
    <w:rsid w:val="009C4143"/>
    <w:rsid w:val="00A40790"/>
    <w:rsid w:val="00A5417D"/>
    <w:rsid w:val="00B263D3"/>
    <w:rsid w:val="00BB48D3"/>
    <w:rsid w:val="00BF20F4"/>
    <w:rsid w:val="00CA3452"/>
    <w:rsid w:val="00CE4BC4"/>
    <w:rsid w:val="00DA6EF1"/>
    <w:rsid w:val="00DA7A56"/>
    <w:rsid w:val="00DC037B"/>
    <w:rsid w:val="00DF6ECD"/>
    <w:rsid w:val="00E61F05"/>
    <w:rsid w:val="00E952C3"/>
    <w:rsid w:val="00ED714B"/>
    <w:rsid w:val="00F12E3A"/>
    <w:rsid w:val="00F50B2B"/>
    <w:rsid w:val="00F60500"/>
    <w:rsid w:val="00FA6E15"/>
    <w:rsid w:val="00FB3890"/>
    <w:rsid w:val="00FC0DF2"/>
    <w:rsid w:val="00FC4BC7"/>
    <w:rsid w:val="00FC51B5"/>
    <w:rsid w:val="00FC6255"/>
    <w:rsid w:val="00F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AA415-1740-4135-9BD7-43FFA1DB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4">
    <w:name w:val="A4"/>
    <w:uiPriority w:val="99"/>
    <w:rsid w:val="00CE4BC4"/>
    <w:rPr>
      <w:b/>
      <w:bCs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4079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C4B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FC4BC7"/>
  </w:style>
  <w:style w:type="character" w:styleId="Hypertextovodkaz">
    <w:name w:val="Hyperlink"/>
    <w:basedOn w:val="Standardnpsmoodstavce"/>
    <w:uiPriority w:val="99"/>
    <w:unhideWhenUsed/>
    <w:rsid w:val="003F4E80"/>
    <w:rPr>
      <w:color w:val="0563C1" w:themeColor="hyperlink"/>
      <w:u w:val="single"/>
    </w:rPr>
  </w:style>
  <w:style w:type="paragraph" w:customStyle="1" w:styleId="Pa6">
    <w:name w:val="Pa6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5">
    <w:name w:val="A5"/>
    <w:uiPriority w:val="99"/>
    <w:rsid w:val="00033BD0"/>
    <w:rPr>
      <w:rFonts w:cs="Futura"/>
      <w:color w:val="000000"/>
      <w:sz w:val="34"/>
      <w:szCs w:val="34"/>
    </w:rPr>
  </w:style>
  <w:style w:type="paragraph" w:customStyle="1" w:styleId="Pa0">
    <w:name w:val="Pa0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Helvetica" w:eastAsiaTheme="minorHAnsi" w:hAnsi="Helvetica" w:cstheme="minorBidi"/>
      <w:lang w:eastAsia="en-US"/>
    </w:rPr>
  </w:style>
  <w:style w:type="paragraph" w:customStyle="1" w:styleId="Pa3">
    <w:name w:val="Pa3"/>
    <w:basedOn w:val="Normln"/>
    <w:next w:val="Normln"/>
    <w:uiPriority w:val="99"/>
    <w:rsid w:val="007356C7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4214B3"/>
    <w:rPr>
      <w:b/>
      <w:bCs/>
    </w:rPr>
  </w:style>
  <w:style w:type="numbering" w:customStyle="1" w:styleId="Styl1">
    <w:name w:val="Styl1"/>
    <w:uiPriority w:val="99"/>
    <w:rsid w:val="00E952C3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7E69-8BA1-447E-AE61-6C79D33B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Najzarová</dc:creator>
  <cp:lastModifiedBy>Karolína Najzarová</cp:lastModifiedBy>
  <cp:revision>14</cp:revision>
  <dcterms:created xsi:type="dcterms:W3CDTF">2015-02-16T06:22:00Z</dcterms:created>
  <dcterms:modified xsi:type="dcterms:W3CDTF">2015-03-03T05:27:00Z</dcterms:modified>
</cp:coreProperties>
</file>