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0" w:rsidRPr="004E3C13" w:rsidRDefault="00FB3890" w:rsidP="00882A23">
      <w:pPr>
        <w:spacing w:line="276" w:lineRule="auto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FB3890" w:rsidRPr="00831F71" w:rsidRDefault="00FB3890" w:rsidP="00882A23">
            <w:pPr>
              <w:tabs>
                <w:tab w:val="center" w:pos="4446"/>
                <w:tab w:val="left" w:pos="7785"/>
              </w:tabs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Standard </w:t>
            </w:r>
            <w:r w:rsidR="00033BD0">
              <w:rPr>
                <w:b/>
                <w:sz w:val="32"/>
              </w:rPr>
              <w:t>7. Prevence</w:t>
            </w:r>
            <w:r>
              <w:rPr>
                <w:b/>
                <w:sz w:val="32"/>
              </w:rPr>
              <w:tab/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882A23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0C7388" w:rsidRPr="00033BD0" w:rsidRDefault="002D38CC" w:rsidP="00820654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7b: Orgán sociálně-právní ochrany v rámci preventivních aktivit spolupracuje s dalšími fyzickými osobami, právnickými osobami a orgány veřejné moci, zejména s orgány územní samosprávy, pověřenými osobami, poskytovateli soc</w:t>
            </w:r>
            <w:r w:rsidR="00B86D6F">
              <w:t>iálních služeb, zástupci škol a </w:t>
            </w:r>
            <w:r>
              <w:t>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 zvolit tým pro děti a mládež.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820654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820654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820654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B83D00" w:rsidP="00820654">
            <w:pPr>
              <w:spacing w:before="120" w:after="120" w:line="276" w:lineRule="auto"/>
              <w:ind w:right="103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820654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820654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820654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B83D00" w:rsidP="00253E24">
            <w:pPr>
              <w:spacing w:before="120" w:after="120" w:line="276" w:lineRule="auto"/>
              <w:ind w:right="103"/>
            </w:pPr>
            <w:r>
              <w:t>30</w:t>
            </w:r>
            <w:r w:rsidR="00253E24">
              <w:t xml:space="preserve">. </w:t>
            </w:r>
            <w:r>
              <w:t>9</w:t>
            </w:r>
            <w:r w:rsidR="0089023D">
              <w:t>. 2016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820654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2D38CC" w:rsidRPr="002D38CC" w:rsidRDefault="00E00BE2" w:rsidP="0082065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="Calibri"/>
                <w:color w:val="000000"/>
              </w:rPr>
            </w:pPr>
            <w:r>
              <w:t>V</w:t>
            </w:r>
            <w:r w:rsidR="002D38CC">
              <w:t xml:space="preserve"> oblasti prevence je uplatňován multidisciplinární přístup</w:t>
            </w:r>
            <w:r>
              <w:t>.</w:t>
            </w:r>
          </w:p>
          <w:p w:rsidR="00A8529F" w:rsidRPr="00A8529F" w:rsidRDefault="00E00BE2" w:rsidP="00A8529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="Calibri"/>
                <w:color w:val="000000"/>
              </w:rPr>
            </w:pPr>
            <w:r>
              <w:t>E</w:t>
            </w:r>
            <w:r w:rsidR="002D38CC">
              <w:t>xistuje</w:t>
            </w:r>
            <w:r w:rsidR="00A5417D">
              <w:t xml:space="preserve"> osvěta, vzdělávání o sociálně-</w:t>
            </w:r>
            <w:r w:rsidR="002D38CC">
              <w:t>právní ochraně dětí</w:t>
            </w:r>
            <w:r w:rsidR="00A8529F">
              <w:t>.</w:t>
            </w:r>
          </w:p>
          <w:p w:rsidR="000C7388" w:rsidRPr="00033BD0" w:rsidRDefault="00E00BE2" w:rsidP="00A8529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="Calibri"/>
                <w:color w:val="000000"/>
              </w:rPr>
            </w:pPr>
            <w:r>
              <w:t>S</w:t>
            </w:r>
            <w:r w:rsidR="002D38CC">
              <w:t xml:space="preserve">peciální multidisciplinární tým má v oblasti </w:t>
            </w:r>
            <w:r w:rsidR="007434D1">
              <w:t>prevence jasně stanoveny cíle i </w:t>
            </w:r>
            <w:r w:rsidR="002D38CC">
              <w:t>pravidla fungování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253E24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FC51B5" w:rsidRDefault="00580762" w:rsidP="00820654">
            <w:pPr>
              <w:spacing w:before="120" w:after="120" w:line="276" w:lineRule="auto"/>
              <w:ind w:right="103"/>
              <w:jc w:val="both"/>
            </w:pPr>
            <w:r w:rsidRPr="004E157C">
              <w:t>Preventivní aktivity probíhají zejména ve spolupráci</w:t>
            </w:r>
            <w:r w:rsidR="003A470D">
              <w:t xml:space="preserve"> odboru sociálních věci Městského úřadu Příbor:</w:t>
            </w:r>
          </w:p>
          <w:p w:rsidR="004E157C" w:rsidRDefault="003A470D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 xml:space="preserve">se zástupci územní samosprávy, kteří schvalují finanční prostředky pro organizace zabývající se volnočasovými aktivitami především pro děti a mládež, </w:t>
            </w:r>
            <w:r w:rsidR="00B86D6F">
              <w:t>prevencí kriminality ve městě</w:t>
            </w:r>
            <w:r>
              <w:t xml:space="preserve"> atd.,</w:t>
            </w:r>
          </w:p>
          <w:p w:rsidR="004E1DDC" w:rsidRDefault="003A470D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lastRenderedPageBreak/>
              <w:t>s dalšími odbory Městského úřadu Příbor v rámci přípravy různých aktivit a akcí pro děti a mládež ve městě (</w:t>
            </w:r>
            <w:r w:rsidR="008840D9">
              <w:t>divadelní představení, Den dětí, Den bez aut</w:t>
            </w:r>
            <w:r w:rsidR="005062F4">
              <w:t xml:space="preserve">, </w:t>
            </w:r>
            <w:r w:rsidR="004E1DDC">
              <w:t>Mikulášská jízda s rozsvícením stromků, Vánoční ja</w:t>
            </w:r>
            <w:r w:rsidR="00A57727">
              <w:t>rmark</w:t>
            </w:r>
            <w:r w:rsidR="004E1DDC">
              <w:t xml:space="preserve"> apod.),</w:t>
            </w:r>
          </w:p>
          <w:p w:rsidR="00763617" w:rsidRDefault="00763617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 řediteli, výchovnými poradci a metodiky prevence místních základních škol,</w:t>
            </w:r>
          </w:p>
          <w:p w:rsidR="003A470D" w:rsidRDefault="003A470D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v rámci komunitního plánování ve městě s „</w:t>
            </w:r>
            <w:r w:rsidRPr="0010354E">
              <w:t>Pracov</w:t>
            </w:r>
            <w:r w:rsidR="007434D1">
              <w:t>ní skupinou pro rodiny a děti a </w:t>
            </w:r>
            <w:r w:rsidRPr="0010354E">
              <w:t>osoby oh</w:t>
            </w:r>
            <w:r w:rsidR="00820654" w:rsidRPr="0010354E">
              <w:t>rožené sociálním vyloučením</w:t>
            </w:r>
            <w:r w:rsidR="00820654">
              <w:t>“</w:t>
            </w:r>
            <w:r w:rsidR="004E1DDC">
              <w:t>,</w:t>
            </w:r>
          </w:p>
          <w:p w:rsidR="003A470D" w:rsidRDefault="003A470D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 „Pracovní skupinou prevence kriminality“, její členkou je vedoucí odboru sociálních věcí</w:t>
            </w:r>
            <w:r w:rsidR="004E1DDC">
              <w:t>,</w:t>
            </w:r>
          </w:p>
          <w:p w:rsidR="003A470D" w:rsidRDefault="003A470D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se zástupcem Terénního programu RENARKON, o.p.s.</w:t>
            </w:r>
            <w:r w:rsidR="004E1DDC">
              <w:t>,</w:t>
            </w:r>
          </w:p>
          <w:p w:rsidR="0049141B" w:rsidRDefault="0049141B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 Městskou policii Příbor v rámci šetření v terénu a prevence kriminality</w:t>
            </w:r>
            <w:r w:rsidR="004E1DDC">
              <w:t>,</w:t>
            </w:r>
          </w:p>
          <w:p w:rsidR="00B86D6F" w:rsidRDefault="0049141B" w:rsidP="00B86D6F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se středi</w:t>
            </w:r>
            <w:r w:rsidR="00B86D6F">
              <w:t>skem volného času Luna Příbor a</w:t>
            </w:r>
            <w:r w:rsidR="004E1DDC">
              <w:t xml:space="preserve"> </w:t>
            </w:r>
            <w:r w:rsidR="00C21A23">
              <w:t>M</w:t>
            </w:r>
            <w:r>
              <w:t>ateřským centrem „Zvoneček“</w:t>
            </w:r>
            <w:r w:rsidR="00E97C17">
              <w:t>,</w:t>
            </w:r>
          </w:p>
          <w:p w:rsidR="00E97C17" w:rsidRDefault="00E97C17" w:rsidP="00B86D6F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 xml:space="preserve">s Občanskou poradnou Nový Jičín, kontaktní pracoviště </w:t>
            </w:r>
            <w:r w:rsidR="00267892">
              <w:t>Příbor</w:t>
            </w:r>
            <w:r>
              <w:t>,</w:t>
            </w:r>
          </w:p>
          <w:p w:rsidR="0049141B" w:rsidRDefault="0049141B" w:rsidP="00820654">
            <w:pPr>
              <w:pStyle w:val="Odstavecseseznamem"/>
              <w:numPr>
                <w:ilvl w:val="0"/>
                <w:numId w:val="10"/>
              </w:numPr>
              <w:spacing w:before="120" w:after="120" w:line="276" w:lineRule="auto"/>
              <w:ind w:right="103"/>
              <w:jc w:val="both"/>
            </w:pPr>
            <w:r>
              <w:t>s dětskými psychology v rámci přednáškové činnosti</w:t>
            </w:r>
            <w:r w:rsidR="00B86D6F">
              <w:t>.</w:t>
            </w:r>
          </w:p>
          <w:p w:rsidR="004655D9" w:rsidRDefault="004655D9" w:rsidP="00A57727">
            <w:pPr>
              <w:spacing w:before="120" w:after="120" w:line="276" w:lineRule="auto"/>
              <w:ind w:right="103"/>
              <w:jc w:val="both"/>
            </w:pPr>
          </w:p>
          <w:p w:rsidR="00580762" w:rsidRDefault="004655D9" w:rsidP="00820654">
            <w:pPr>
              <w:spacing w:before="120" w:after="120" w:line="276" w:lineRule="auto"/>
              <w:ind w:right="103"/>
              <w:jc w:val="both"/>
            </w:pPr>
            <w:r>
              <w:t xml:space="preserve">Orgán sociálně-právní ochrany dětí Městského úřadu Příbor nemá vytvořený multidisciplinární tým, a to </w:t>
            </w:r>
            <w:r w:rsidR="00706B68">
              <w:t xml:space="preserve">především se zřetelem </w:t>
            </w:r>
            <w:r>
              <w:t>k</w:t>
            </w:r>
            <w:r w:rsidR="00101E84">
              <w:t xml:space="preserve"> </w:t>
            </w:r>
            <w:r>
              <w:t>nízké četnosti případů</w:t>
            </w:r>
            <w:r w:rsidR="00706B68">
              <w:t xml:space="preserve"> </w:t>
            </w:r>
            <w:r w:rsidR="007434D1" w:rsidRPr="007434D1">
              <w:t>a</w:t>
            </w:r>
            <w:r w:rsidR="007434D1">
              <w:t> </w:t>
            </w:r>
            <w:r w:rsidR="00101E84" w:rsidRPr="007434D1">
              <w:t>k</w:t>
            </w:r>
            <w:r w:rsidR="00101E84">
              <w:t> povinnostem stanoveným pro pověřené obecní úřady a následně ke spolupráci s oddělením sociálně právní ochrany odboru sociálních věcí a zdravotnictví Městského úřadu Kopřivnice. P</w:t>
            </w:r>
            <w:r w:rsidR="00706B68">
              <w:t>racovník orgánu sociálně-právní ochrany dětí má možnost spolupráce s dětskými lékaři</w:t>
            </w:r>
            <w:r w:rsidR="00101E84">
              <w:t xml:space="preserve">, výchovnými poradci, </w:t>
            </w:r>
            <w:r w:rsidR="00C751DE">
              <w:t>Městkou policii Příbor, dětskou psycholožkou, sociálním pracovníkem, pracovníkem zajišťujícím přiděl</w:t>
            </w:r>
            <w:r w:rsidR="007434D1">
              <w:t>ování bytu k sociálním účelům a </w:t>
            </w:r>
            <w:r w:rsidR="00C751DE">
              <w:t>dalšími odborníky dle individuálních potřeb.</w:t>
            </w:r>
          </w:p>
          <w:p w:rsidR="00107A79" w:rsidRDefault="00107A79" w:rsidP="00820654">
            <w:pPr>
              <w:spacing w:before="120" w:after="120" w:line="276" w:lineRule="auto"/>
              <w:ind w:right="103"/>
              <w:jc w:val="both"/>
            </w:pPr>
          </w:p>
          <w:p w:rsidR="00B34A5E" w:rsidRDefault="00B34A5E" w:rsidP="00820654">
            <w:pPr>
              <w:spacing w:before="120" w:after="120" w:line="276" w:lineRule="auto"/>
              <w:ind w:right="103"/>
              <w:jc w:val="both"/>
            </w:pPr>
          </w:p>
          <w:p w:rsidR="00107A79" w:rsidRPr="00B34A5E" w:rsidRDefault="00107A79" w:rsidP="00820654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B34A5E">
              <w:rPr>
                <w:b/>
              </w:rPr>
              <w:t>Přílohy:</w:t>
            </w:r>
          </w:p>
          <w:p w:rsidR="00853A5F" w:rsidRDefault="00107A79" w:rsidP="00820654">
            <w:pPr>
              <w:spacing w:before="120" w:after="120" w:line="276" w:lineRule="auto"/>
              <w:ind w:right="103"/>
              <w:jc w:val="both"/>
            </w:pPr>
            <w:r>
              <w:t>Příloha č. 17: Přednášková činnost</w:t>
            </w:r>
          </w:p>
          <w:p w:rsidR="005C0160" w:rsidRPr="007434D1" w:rsidRDefault="005C0160" w:rsidP="00820654">
            <w:pPr>
              <w:spacing w:before="120" w:after="120" w:line="276" w:lineRule="auto"/>
              <w:ind w:right="103"/>
              <w:jc w:val="both"/>
            </w:pPr>
            <w:r>
              <w:t>Příloha č. 18: Záznam z jednání se zástupkyni Renarkonu, o. p. s.</w:t>
            </w:r>
          </w:p>
          <w:p w:rsidR="00FC4BC7" w:rsidRPr="003F4E80" w:rsidRDefault="00FC4BC7" w:rsidP="0082065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</w:p>
        </w:tc>
      </w:tr>
    </w:tbl>
    <w:p w:rsidR="00BB48D3" w:rsidRDefault="00BB48D3" w:rsidP="00882A23">
      <w:pPr>
        <w:spacing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205CC"/>
    <w:multiLevelType w:val="hybridMultilevel"/>
    <w:tmpl w:val="FC7A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33BD0"/>
    <w:rsid w:val="0007039B"/>
    <w:rsid w:val="000B6E08"/>
    <w:rsid w:val="000C7388"/>
    <w:rsid w:val="000E193A"/>
    <w:rsid w:val="00101E84"/>
    <w:rsid w:val="0010354E"/>
    <w:rsid w:val="00107A79"/>
    <w:rsid w:val="00196A57"/>
    <w:rsid w:val="001A714E"/>
    <w:rsid w:val="00242C34"/>
    <w:rsid w:val="00253E24"/>
    <w:rsid w:val="00267892"/>
    <w:rsid w:val="002B53BD"/>
    <w:rsid w:val="002D38CC"/>
    <w:rsid w:val="002E4DC2"/>
    <w:rsid w:val="003A470D"/>
    <w:rsid w:val="003F4E80"/>
    <w:rsid w:val="0042655F"/>
    <w:rsid w:val="004655D9"/>
    <w:rsid w:val="0049141B"/>
    <w:rsid w:val="004C74AA"/>
    <w:rsid w:val="004E157C"/>
    <w:rsid w:val="004E1DDC"/>
    <w:rsid w:val="005062F4"/>
    <w:rsid w:val="00580762"/>
    <w:rsid w:val="005C0160"/>
    <w:rsid w:val="005C649C"/>
    <w:rsid w:val="00603CB9"/>
    <w:rsid w:val="00616222"/>
    <w:rsid w:val="00647CEA"/>
    <w:rsid w:val="00706B68"/>
    <w:rsid w:val="00715F6A"/>
    <w:rsid w:val="007434D1"/>
    <w:rsid w:val="00763617"/>
    <w:rsid w:val="00820654"/>
    <w:rsid w:val="00853A5F"/>
    <w:rsid w:val="00882A23"/>
    <w:rsid w:val="008840D9"/>
    <w:rsid w:val="0089023D"/>
    <w:rsid w:val="00987672"/>
    <w:rsid w:val="009B3F27"/>
    <w:rsid w:val="00A40790"/>
    <w:rsid w:val="00A5417D"/>
    <w:rsid w:val="00A57727"/>
    <w:rsid w:val="00A8529F"/>
    <w:rsid w:val="00B34A5E"/>
    <w:rsid w:val="00B83D00"/>
    <w:rsid w:val="00B86D6F"/>
    <w:rsid w:val="00BB48D3"/>
    <w:rsid w:val="00C21A23"/>
    <w:rsid w:val="00C751DE"/>
    <w:rsid w:val="00CE4BC4"/>
    <w:rsid w:val="00DA7A56"/>
    <w:rsid w:val="00DC037B"/>
    <w:rsid w:val="00E00BE2"/>
    <w:rsid w:val="00E61F05"/>
    <w:rsid w:val="00E97C17"/>
    <w:rsid w:val="00F12E3A"/>
    <w:rsid w:val="00F50B2B"/>
    <w:rsid w:val="00F60500"/>
    <w:rsid w:val="00FB3890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3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FFC9-C6AC-434F-A042-889FDCE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Iveta Busková</cp:lastModifiedBy>
  <cp:revision>2</cp:revision>
  <cp:lastPrinted>2016-09-30T11:14:00Z</cp:lastPrinted>
  <dcterms:created xsi:type="dcterms:W3CDTF">2016-10-28T16:10:00Z</dcterms:created>
  <dcterms:modified xsi:type="dcterms:W3CDTF">2016-10-28T16:10:00Z</dcterms:modified>
</cp:coreProperties>
</file>